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F3" w:rsidRPr="005674F3" w:rsidRDefault="005674F3" w:rsidP="003141F7">
      <w:pPr>
        <w:spacing w:after="120"/>
        <w:jc w:val="both"/>
        <w:rPr>
          <w:rFonts w:ascii="Times New Roman" w:hAnsi="Times New Roman" w:cs="Times New Roman"/>
          <w:b/>
          <w:i/>
          <w:iCs/>
        </w:rPr>
      </w:pPr>
      <w:bookmarkStart w:id="0" w:name="_Toc190170452"/>
      <w:r w:rsidRPr="005674F3">
        <w:rPr>
          <w:rFonts w:ascii="Times New Roman" w:hAnsi="Times New Roman" w:cs="Times New Roman"/>
          <w:b/>
          <w:i/>
          <w:iCs/>
        </w:rPr>
        <w:t xml:space="preserve">List </w:t>
      </w:r>
      <w:proofErr w:type="spellStart"/>
      <w:r w:rsidRPr="005674F3">
        <w:rPr>
          <w:rFonts w:ascii="Times New Roman" w:hAnsi="Times New Roman" w:cs="Times New Roman"/>
          <w:b/>
          <w:i/>
          <w:iCs/>
        </w:rPr>
        <w:t>Judův</w:t>
      </w:r>
      <w:proofErr w:type="spellEnd"/>
    </w:p>
    <w:p w:rsidR="003141F7" w:rsidRPr="005674F3" w:rsidRDefault="003141F7" w:rsidP="003141F7">
      <w:pPr>
        <w:spacing w:after="120"/>
        <w:jc w:val="both"/>
        <w:rPr>
          <w:rFonts w:ascii="Times New Roman" w:hAnsi="Times New Roman" w:cs="Times New Roman"/>
          <w:i/>
          <w:iCs/>
        </w:rPr>
      </w:pPr>
      <w:r w:rsidRPr="005674F3">
        <w:rPr>
          <w:rFonts w:ascii="Times New Roman" w:hAnsi="Times New Roman" w:cs="Times New Roman"/>
          <w:i/>
          <w:iCs/>
        </w:rPr>
        <w:t>1. Úvodní charakteristika</w:t>
      </w:r>
    </w:p>
    <w:p w:rsidR="003141F7" w:rsidRPr="005674F3" w:rsidRDefault="003141F7" w:rsidP="003141F7">
      <w:pPr>
        <w:pStyle w:val="Zkladntextodsazen"/>
        <w:rPr>
          <w:sz w:val="22"/>
          <w:szCs w:val="22"/>
        </w:rPr>
      </w:pPr>
      <w:r w:rsidRPr="005674F3">
        <w:rPr>
          <w:sz w:val="22"/>
          <w:szCs w:val="22"/>
        </w:rPr>
        <w:t xml:space="preserve">List </w:t>
      </w:r>
      <w:proofErr w:type="spellStart"/>
      <w:r w:rsidRPr="005674F3">
        <w:rPr>
          <w:sz w:val="22"/>
          <w:szCs w:val="22"/>
        </w:rPr>
        <w:t>Judův</w:t>
      </w:r>
      <w:proofErr w:type="spellEnd"/>
      <w:r w:rsidRPr="005674F3">
        <w:rPr>
          <w:sz w:val="22"/>
          <w:szCs w:val="22"/>
        </w:rPr>
        <w:t xml:space="preserve"> je jedním ze sedmi listů (Jak, Jud 1-2 Petr, 1-3 Jan), které se od doby </w:t>
      </w:r>
      <w:proofErr w:type="spellStart"/>
      <w:r w:rsidRPr="005674F3">
        <w:rPr>
          <w:sz w:val="22"/>
          <w:szCs w:val="22"/>
        </w:rPr>
        <w:t>Eusebia</w:t>
      </w:r>
      <w:proofErr w:type="spellEnd"/>
      <w:r w:rsidRPr="005674F3">
        <w:rPr>
          <w:sz w:val="22"/>
          <w:szCs w:val="22"/>
        </w:rPr>
        <w:t xml:space="preserve"> (</w:t>
      </w:r>
      <w:proofErr w:type="spellStart"/>
      <w:r w:rsidRPr="005674F3">
        <w:rPr>
          <w:bCs/>
          <w:i/>
          <w:sz w:val="22"/>
          <w:szCs w:val="22"/>
        </w:rPr>
        <w:t>Historia</w:t>
      </w:r>
      <w:proofErr w:type="spellEnd"/>
      <w:r w:rsidRPr="005674F3">
        <w:rPr>
          <w:bCs/>
          <w:i/>
          <w:sz w:val="22"/>
          <w:szCs w:val="22"/>
        </w:rPr>
        <w:t xml:space="preserve"> </w:t>
      </w:r>
      <w:proofErr w:type="spellStart"/>
      <w:r w:rsidRPr="005674F3">
        <w:rPr>
          <w:bCs/>
          <w:i/>
          <w:sz w:val="22"/>
          <w:szCs w:val="22"/>
        </w:rPr>
        <w:t>ecclesiastica</w:t>
      </w:r>
      <w:proofErr w:type="spellEnd"/>
      <w:r w:rsidRPr="005674F3">
        <w:rPr>
          <w:sz w:val="22"/>
          <w:szCs w:val="22"/>
        </w:rPr>
        <w:t xml:space="preserve">, 2,23,24n; 6,14,1) nazývají jako katolické listy, neboť jsou adresovány všem křesťanům. Výraz „katolický“ v označení těchto listů znamená „obecný“ tzn. „určený pro všeobecnou církev“. Na rozdíl od listů </w:t>
      </w:r>
      <w:r w:rsidRPr="005674F3">
        <w:rPr>
          <w:i/>
          <w:sz w:val="22"/>
          <w:szCs w:val="22"/>
        </w:rPr>
        <w:t xml:space="preserve">Corpus </w:t>
      </w:r>
      <w:proofErr w:type="spellStart"/>
      <w:r w:rsidRPr="005674F3">
        <w:rPr>
          <w:i/>
          <w:sz w:val="22"/>
          <w:szCs w:val="22"/>
        </w:rPr>
        <w:t>Paulinum</w:t>
      </w:r>
      <w:proofErr w:type="spellEnd"/>
      <w:r w:rsidRPr="005674F3">
        <w:rPr>
          <w:sz w:val="22"/>
          <w:szCs w:val="22"/>
        </w:rPr>
        <w:t xml:space="preserve">, které jsou pojmenovány podle adresátů, jsou katolické listy označovány podle jména autora. </w:t>
      </w:r>
    </w:p>
    <w:p w:rsidR="003141F7" w:rsidRPr="005674F3" w:rsidRDefault="003141F7" w:rsidP="003141F7">
      <w:pPr>
        <w:pStyle w:val="Zkladntextodsazen"/>
        <w:rPr>
          <w:sz w:val="22"/>
          <w:szCs w:val="22"/>
        </w:rPr>
      </w:pPr>
    </w:p>
    <w:p w:rsidR="003141F7" w:rsidRPr="005674F3" w:rsidRDefault="003141F7" w:rsidP="003141F7">
      <w:pPr>
        <w:spacing w:after="120" w:line="240" w:lineRule="auto"/>
        <w:jc w:val="both"/>
        <w:rPr>
          <w:rFonts w:ascii="Times New Roman" w:hAnsi="Times New Roman" w:cs="Times New Roman"/>
          <w:i/>
          <w:iCs/>
        </w:rPr>
      </w:pPr>
      <w:r w:rsidRPr="005674F3">
        <w:rPr>
          <w:rFonts w:ascii="Times New Roman" w:hAnsi="Times New Roman" w:cs="Times New Roman"/>
          <w:i/>
          <w:iCs/>
        </w:rPr>
        <w:t xml:space="preserve">2. Autor, </w:t>
      </w:r>
      <w:r w:rsidRPr="005674F3">
        <w:rPr>
          <w:rFonts w:ascii="Times New Roman" w:eastAsia="Times New Roman" w:hAnsi="Times New Roman" w:cs="Times New Roman"/>
          <w:i/>
          <w:iCs/>
          <w:lang w:eastAsia="cs-CZ"/>
        </w:rPr>
        <w:t>adresáti</w:t>
      </w:r>
      <w:r w:rsidRPr="005674F3">
        <w:rPr>
          <w:rFonts w:ascii="Times New Roman" w:hAnsi="Times New Roman" w:cs="Times New Roman"/>
          <w:i/>
          <w:iCs/>
        </w:rPr>
        <w:t xml:space="preserve">, doba a místo sepsání, </w:t>
      </w:r>
    </w:p>
    <w:bookmarkEnd w:id="0"/>
    <w:p w:rsidR="003141F7" w:rsidRPr="005674F3" w:rsidRDefault="003141F7" w:rsidP="003141F7">
      <w:pPr>
        <w:pStyle w:val="Zkladntextodsazen"/>
        <w:rPr>
          <w:sz w:val="22"/>
          <w:szCs w:val="22"/>
        </w:rPr>
      </w:pPr>
      <w:r w:rsidRPr="005674F3">
        <w:rPr>
          <w:sz w:val="22"/>
          <w:szCs w:val="22"/>
        </w:rPr>
        <w:t>Autor tohoto krátkého listu (25 veršů) se představuje jako „Juda (</w:t>
      </w:r>
      <w:proofErr w:type="spellStart"/>
      <w:r w:rsidRPr="005674F3">
        <w:rPr>
          <w:i/>
          <w:sz w:val="22"/>
          <w:szCs w:val="22"/>
        </w:rPr>
        <w:t>Ioudas</w:t>
      </w:r>
      <w:proofErr w:type="spellEnd"/>
      <w:r w:rsidRPr="005674F3">
        <w:rPr>
          <w:sz w:val="22"/>
          <w:szCs w:val="22"/>
        </w:rPr>
        <w:t>), služebník Ježíše Krista, bratr Jakubův“ (Jud 1). Když vyloučíme Jidáše (</w:t>
      </w:r>
      <w:proofErr w:type="spellStart"/>
      <w:r w:rsidRPr="005674F3">
        <w:rPr>
          <w:i/>
          <w:sz w:val="22"/>
          <w:szCs w:val="22"/>
        </w:rPr>
        <w:t>Ioudas</w:t>
      </w:r>
      <w:proofErr w:type="spellEnd"/>
      <w:r w:rsidRPr="005674F3">
        <w:rPr>
          <w:sz w:val="22"/>
          <w:szCs w:val="22"/>
        </w:rPr>
        <w:t>) Iškariotského (</w:t>
      </w:r>
      <w:proofErr w:type="spellStart"/>
      <w:r w:rsidRPr="005674F3">
        <w:rPr>
          <w:sz w:val="22"/>
          <w:szCs w:val="22"/>
        </w:rPr>
        <w:t>Mk</w:t>
      </w:r>
      <w:proofErr w:type="spellEnd"/>
      <w:r w:rsidRPr="005674F3">
        <w:rPr>
          <w:sz w:val="22"/>
          <w:szCs w:val="22"/>
        </w:rPr>
        <w:t xml:space="preserve"> 3,19; 14,10n.43-46; </w:t>
      </w:r>
      <w:proofErr w:type="spellStart"/>
      <w:r w:rsidRPr="005674F3">
        <w:rPr>
          <w:sz w:val="22"/>
          <w:szCs w:val="22"/>
        </w:rPr>
        <w:t>Mt</w:t>
      </w:r>
      <w:proofErr w:type="spellEnd"/>
      <w:r w:rsidRPr="005674F3">
        <w:rPr>
          <w:sz w:val="22"/>
          <w:szCs w:val="22"/>
        </w:rPr>
        <w:t xml:space="preserve"> 27,3-10; Sk 1,15-19), zbývají v NZ tři možní kandidáti: 1) </w:t>
      </w:r>
      <w:r w:rsidRPr="005674F3">
        <w:rPr>
          <w:iCs/>
          <w:sz w:val="22"/>
          <w:szCs w:val="22"/>
        </w:rPr>
        <w:t>Juda Jakubův</w:t>
      </w:r>
      <w:r w:rsidRPr="005674F3">
        <w:rPr>
          <w:sz w:val="22"/>
          <w:szCs w:val="22"/>
        </w:rPr>
        <w:t xml:space="preserve"> je jmenován v seznamech apoštolů (</w:t>
      </w:r>
      <w:proofErr w:type="spellStart"/>
      <w:r w:rsidRPr="005674F3">
        <w:rPr>
          <w:sz w:val="22"/>
          <w:szCs w:val="22"/>
        </w:rPr>
        <w:t>Lk</w:t>
      </w:r>
      <w:proofErr w:type="spellEnd"/>
      <w:r w:rsidRPr="005674F3">
        <w:rPr>
          <w:sz w:val="22"/>
          <w:szCs w:val="22"/>
        </w:rPr>
        <w:t xml:space="preserve"> </w:t>
      </w:r>
      <w:smartTag w:uri="urn:schemas-microsoft-com:office:smarttags" w:element="metricconverter">
        <w:smartTagPr>
          <w:attr w:name="ProductID" w:val="6,16 a"/>
        </w:smartTagPr>
        <w:r w:rsidRPr="005674F3">
          <w:rPr>
            <w:sz w:val="22"/>
            <w:szCs w:val="22"/>
          </w:rPr>
          <w:t>6,16 a</w:t>
        </w:r>
      </w:smartTag>
      <w:r w:rsidRPr="005674F3">
        <w:rPr>
          <w:sz w:val="22"/>
          <w:szCs w:val="22"/>
        </w:rPr>
        <w:t xml:space="preserve"> Sk 1,13; srov. též Jan 14,22). V seznamech apoštolů u </w:t>
      </w:r>
      <w:proofErr w:type="spellStart"/>
      <w:r w:rsidRPr="005674F3">
        <w:rPr>
          <w:sz w:val="22"/>
          <w:szCs w:val="22"/>
        </w:rPr>
        <w:t>Mt</w:t>
      </w:r>
      <w:proofErr w:type="spellEnd"/>
      <w:r w:rsidRPr="005674F3">
        <w:rPr>
          <w:sz w:val="22"/>
          <w:szCs w:val="22"/>
        </w:rPr>
        <w:t xml:space="preserve"> </w:t>
      </w:r>
      <w:smartTag w:uri="urn:schemas-microsoft-com:office:smarttags" w:element="metricconverter">
        <w:smartTagPr>
          <w:attr w:name="ProductID" w:val="10,3 a"/>
        </w:smartTagPr>
        <w:r w:rsidRPr="005674F3">
          <w:rPr>
            <w:sz w:val="22"/>
            <w:szCs w:val="22"/>
          </w:rPr>
          <w:t>10,3 a</w:t>
        </w:r>
      </w:smartTag>
      <w:r w:rsidRPr="005674F3">
        <w:rPr>
          <w:sz w:val="22"/>
          <w:szCs w:val="22"/>
        </w:rPr>
        <w:t xml:space="preserve"> </w:t>
      </w:r>
      <w:proofErr w:type="spellStart"/>
      <w:r w:rsidRPr="005674F3">
        <w:rPr>
          <w:sz w:val="22"/>
          <w:szCs w:val="22"/>
        </w:rPr>
        <w:t>Mk</w:t>
      </w:r>
      <w:proofErr w:type="spellEnd"/>
      <w:r w:rsidRPr="005674F3">
        <w:rPr>
          <w:sz w:val="22"/>
          <w:szCs w:val="22"/>
        </w:rPr>
        <w:t xml:space="preserve"> 3,18 je místo něho Tadeáš. Považovat apoštola Judy – Tadeáše za autoritu tohoto listu je sporné, protože o něm nic nevíme a pro Jud 17 tvoří „apoštolové našeho Pána Ježíše Krista“ zvláštní skupinu (rozdílnou od bratří Páně). Zároveň je třeba dodat, že tradiční ztotožnění Judy, „bratra Páně“, s apoštolem </w:t>
      </w:r>
      <w:proofErr w:type="spellStart"/>
      <w:r w:rsidRPr="005674F3">
        <w:rPr>
          <w:sz w:val="22"/>
          <w:szCs w:val="22"/>
        </w:rPr>
        <w:t>Judou</w:t>
      </w:r>
      <w:proofErr w:type="spellEnd"/>
      <w:r w:rsidRPr="005674F3">
        <w:rPr>
          <w:sz w:val="22"/>
          <w:szCs w:val="22"/>
        </w:rPr>
        <w:t xml:space="preserve"> – Tadeášem se dnes již nezastává. 2) Prorok Juda zvaný </w:t>
      </w:r>
      <w:proofErr w:type="spellStart"/>
      <w:r w:rsidRPr="005674F3">
        <w:rPr>
          <w:sz w:val="22"/>
          <w:szCs w:val="22"/>
        </w:rPr>
        <w:t>Barsabáš</w:t>
      </w:r>
      <w:proofErr w:type="spellEnd"/>
      <w:r w:rsidRPr="005674F3">
        <w:rPr>
          <w:sz w:val="22"/>
          <w:szCs w:val="22"/>
        </w:rPr>
        <w:t xml:space="preserve"> (Sk 15,22.27.32): Několik biblistů se domnívá, že jej lze metaforicky považovat za „bratra“ Jakubova (Jud 1), protože byl v jeho blízkosti v Jeruzalémě a nesl jeho dopis křesťanům v Sýrii a </w:t>
      </w:r>
      <w:proofErr w:type="spellStart"/>
      <w:r w:rsidRPr="005674F3">
        <w:rPr>
          <w:sz w:val="22"/>
          <w:szCs w:val="22"/>
        </w:rPr>
        <w:t>Kilikii</w:t>
      </w:r>
      <w:proofErr w:type="spellEnd"/>
      <w:r w:rsidRPr="005674F3">
        <w:rPr>
          <w:sz w:val="22"/>
          <w:szCs w:val="22"/>
        </w:rPr>
        <w:t xml:space="preserve"> (srov. </w:t>
      </w:r>
      <w:r w:rsidRPr="005674F3">
        <w:rPr>
          <w:smallCaps/>
          <w:sz w:val="22"/>
          <w:szCs w:val="22"/>
        </w:rPr>
        <w:t xml:space="preserve">E. E. </w:t>
      </w:r>
      <w:proofErr w:type="spellStart"/>
      <w:r w:rsidRPr="005674F3">
        <w:rPr>
          <w:smallCaps/>
          <w:sz w:val="22"/>
          <w:szCs w:val="22"/>
        </w:rPr>
        <w:t>Ellis</w:t>
      </w:r>
      <w:proofErr w:type="spellEnd"/>
      <w:r w:rsidRPr="005674F3">
        <w:rPr>
          <w:sz w:val="22"/>
          <w:szCs w:val="22"/>
        </w:rPr>
        <w:t xml:space="preserve">). </w:t>
      </w:r>
      <w:r w:rsidRPr="005674F3">
        <w:rPr>
          <w:iCs/>
          <w:sz w:val="22"/>
          <w:szCs w:val="22"/>
        </w:rPr>
        <w:t xml:space="preserve">3) </w:t>
      </w:r>
      <w:r w:rsidRPr="005674F3">
        <w:rPr>
          <w:sz w:val="22"/>
          <w:szCs w:val="22"/>
        </w:rPr>
        <w:t>Juda, jeden ze čtyř jmenovaných Ježíšových bratří</w:t>
      </w:r>
      <w:r w:rsidRPr="005674F3">
        <w:rPr>
          <w:iCs/>
          <w:sz w:val="22"/>
          <w:szCs w:val="22"/>
        </w:rPr>
        <w:t xml:space="preserve"> </w:t>
      </w:r>
      <w:r w:rsidRPr="005674F3">
        <w:rPr>
          <w:sz w:val="22"/>
          <w:szCs w:val="22"/>
        </w:rPr>
        <w:t>(třetí v pořadí v </w:t>
      </w:r>
      <w:proofErr w:type="spellStart"/>
      <w:r w:rsidRPr="005674F3">
        <w:rPr>
          <w:sz w:val="22"/>
          <w:szCs w:val="22"/>
        </w:rPr>
        <w:t>Mk</w:t>
      </w:r>
      <w:proofErr w:type="spellEnd"/>
      <w:r w:rsidRPr="005674F3">
        <w:rPr>
          <w:sz w:val="22"/>
          <w:szCs w:val="22"/>
        </w:rPr>
        <w:t xml:space="preserve"> 6,3; čtvrtý v </w:t>
      </w:r>
      <w:proofErr w:type="spellStart"/>
      <w:r w:rsidRPr="005674F3">
        <w:rPr>
          <w:sz w:val="22"/>
          <w:szCs w:val="22"/>
        </w:rPr>
        <w:t>Mt</w:t>
      </w:r>
      <w:proofErr w:type="spellEnd"/>
      <w:r w:rsidRPr="005674F3">
        <w:rPr>
          <w:sz w:val="22"/>
          <w:szCs w:val="22"/>
        </w:rPr>
        <w:t xml:space="preserve"> 13,55): Toto řešení je nejčastější a nejpravděpodobnější. Autor listu se totiž představuje jako „bratr Jakubův“ (Jud 1). 1 </w:t>
      </w:r>
      <w:proofErr w:type="spellStart"/>
      <w:r w:rsidRPr="005674F3">
        <w:rPr>
          <w:sz w:val="22"/>
          <w:szCs w:val="22"/>
        </w:rPr>
        <w:t>Kor</w:t>
      </w:r>
      <w:proofErr w:type="spellEnd"/>
      <w:r w:rsidRPr="005674F3">
        <w:rPr>
          <w:sz w:val="22"/>
          <w:szCs w:val="22"/>
        </w:rPr>
        <w:t xml:space="preserve"> 9,5 potvrzuje misijní činnost „bratrů Páně“ a list </w:t>
      </w:r>
      <w:proofErr w:type="spellStart"/>
      <w:r w:rsidRPr="005674F3">
        <w:rPr>
          <w:sz w:val="22"/>
          <w:szCs w:val="22"/>
        </w:rPr>
        <w:t>Judův</w:t>
      </w:r>
      <w:proofErr w:type="spellEnd"/>
      <w:r w:rsidRPr="005674F3">
        <w:rPr>
          <w:sz w:val="22"/>
          <w:szCs w:val="22"/>
        </w:rPr>
        <w:t xml:space="preserve"> by tak mohl být svědectvím tohoto misijního působení. Židovsko-křesťanský myšlenkový svět vysvítající z tohoto listu také potvrzuje možnost, že autorem tohoto listu byl Juda, bratr Páně.</w:t>
      </w:r>
    </w:p>
    <w:p w:rsidR="003141F7" w:rsidRPr="005674F3" w:rsidRDefault="003141F7" w:rsidP="003141F7">
      <w:pPr>
        <w:pStyle w:val="Zkladntextodsazen"/>
        <w:rPr>
          <w:sz w:val="22"/>
          <w:szCs w:val="22"/>
        </w:rPr>
      </w:pPr>
      <w:r w:rsidRPr="005674F3">
        <w:rPr>
          <w:sz w:val="22"/>
          <w:szCs w:val="22"/>
        </w:rPr>
        <w:t xml:space="preserve">Proti autorství Judy, bratra Páně, však přesto existují důvody: a) proč se autor listu neoznačuje přímo jako bratr Páně, ale uvádí se jako bratr </w:t>
      </w:r>
      <w:proofErr w:type="gramStart"/>
      <w:r w:rsidRPr="005674F3">
        <w:rPr>
          <w:sz w:val="22"/>
          <w:szCs w:val="22"/>
        </w:rPr>
        <w:t>Jakubův? b) výraz</w:t>
      </w:r>
      <w:proofErr w:type="gramEnd"/>
      <w:r w:rsidRPr="005674F3">
        <w:rPr>
          <w:sz w:val="22"/>
          <w:szCs w:val="22"/>
        </w:rPr>
        <w:t xml:space="preserve"> „bratr“ je mnohoznačný, často je používán v Novém zákoně ve smyslu „spolupracovníka“ (např. Kol 1,1); c) zápas o víru popsaný v </w:t>
      </w:r>
      <w:proofErr w:type="gramStart"/>
      <w:r w:rsidRPr="005674F3">
        <w:rPr>
          <w:sz w:val="22"/>
          <w:szCs w:val="22"/>
        </w:rPr>
        <w:t>Jud</w:t>
      </w:r>
      <w:proofErr w:type="gramEnd"/>
      <w:r w:rsidRPr="005674F3">
        <w:rPr>
          <w:sz w:val="22"/>
          <w:szCs w:val="22"/>
        </w:rPr>
        <w:t xml:space="preserve"> 3.20 poukazuje na problémy ortodoxie, hereze a vystoupení mylných učitelů (srov. 1 </w:t>
      </w:r>
      <w:proofErr w:type="spellStart"/>
      <w:r w:rsidRPr="005674F3">
        <w:rPr>
          <w:sz w:val="22"/>
          <w:szCs w:val="22"/>
        </w:rPr>
        <w:t>Tim</w:t>
      </w:r>
      <w:proofErr w:type="spellEnd"/>
      <w:r w:rsidRPr="005674F3">
        <w:rPr>
          <w:sz w:val="22"/>
          <w:szCs w:val="22"/>
        </w:rPr>
        <w:t xml:space="preserve"> 4,1-3; 2 </w:t>
      </w:r>
      <w:proofErr w:type="spellStart"/>
      <w:r w:rsidRPr="005674F3">
        <w:rPr>
          <w:sz w:val="22"/>
          <w:szCs w:val="22"/>
        </w:rPr>
        <w:t>Tim</w:t>
      </w:r>
      <w:proofErr w:type="spellEnd"/>
      <w:r w:rsidRPr="005674F3">
        <w:rPr>
          <w:sz w:val="22"/>
          <w:szCs w:val="22"/>
        </w:rPr>
        <w:t xml:space="preserve"> 4,3n; 1 Jan 2,18; 4,1-3; </w:t>
      </w:r>
      <w:proofErr w:type="spellStart"/>
      <w:r w:rsidRPr="005674F3">
        <w:rPr>
          <w:sz w:val="22"/>
          <w:szCs w:val="22"/>
        </w:rPr>
        <w:t>Did</w:t>
      </w:r>
      <w:proofErr w:type="spellEnd"/>
      <w:r w:rsidRPr="005674F3">
        <w:rPr>
          <w:sz w:val="22"/>
          <w:szCs w:val="22"/>
        </w:rPr>
        <w:t xml:space="preserve"> 16,3), které byly charakteristické pro </w:t>
      </w:r>
      <w:proofErr w:type="spellStart"/>
      <w:r w:rsidRPr="005674F3">
        <w:rPr>
          <w:sz w:val="22"/>
          <w:szCs w:val="22"/>
        </w:rPr>
        <w:t>poapoštolskou</w:t>
      </w:r>
      <w:proofErr w:type="spellEnd"/>
      <w:r w:rsidRPr="005674F3">
        <w:rPr>
          <w:sz w:val="22"/>
          <w:szCs w:val="22"/>
        </w:rPr>
        <w:t xml:space="preserve"> dobu; d) autor se sám řadí do pozdějšího období prvotní církve a chápe období apoštolů jako dobu pokládání základů víry (srov. Jud 17n); Podle </w:t>
      </w:r>
      <w:proofErr w:type="spellStart"/>
      <w:r w:rsidRPr="005674F3">
        <w:rPr>
          <w:sz w:val="22"/>
          <w:szCs w:val="22"/>
        </w:rPr>
        <w:t>Hegesippova</w:t>
      </w:r>
      <w:proofErr w:type="spellEnd"/>
      <w:r w:rsidRPr="005674F3">
        <w:rPr>
          <w:sz w:val="22"/>
          <w:szCs w:val="22"/>
        </w:rPr>
        <w:t xml:space="preserve"> svědectví historický Juda nepatřil k velkým a známým postavám prvotní církve (viz </w:t>
      </w:r>
      <w:proofErr w:type="spellStart"/>
      <w:r w:rsidRPr="005674F3">
        <w:rPr>
          <w:smallCaps/>
          <w:sz w:val="22"/>
          <w:szCs w:val="22"/>
        </w:rPr>
        <w:t>Eusebius</w:t>
      </w:r>
      <w:proofErr w:type="spellEnd"/>
      <w:r w:rsidRPr="005674F3">
        <w:rPr>
          <w:sz w:val="22"/>
          <w:szCs w:val="22"/>
        </w:rPr>
        <w:t xml:space="preserve">, </w:t>
      </w:r>
      <w:r w:rsidRPr="005674F3">
        <w:rPr>
          <w:i/>
          <w:iCs/>
          <w:sz w:val="22"/>
          <w:szCs w:val="22"/>
        </w:rPr>
        <w:t>HE</w:t>
      </w:r>
      <w:r w:rsidRPr="005674F3">
        <w:rPr>
          <w:sz w:val="22"/>
          <w:szCs w:val="22"/>
        </w:rPr>
        <w:t xml:space="preserve">, 3,20,1-6). S největší pravděpodobností je list </w:t>
      </w:r>
      <w:proofErr w:type="spellStart"/>
      <w:r w:rsidRPr="005674F3">
        <w:rPr>
          <w:sz w:val="22"/>
          <w:szCs w:val="22"/>
        </w:rPr>
        <w:t>Judův</w:t>
      </w:r>
      <w:proofErr w:type="spellEnd"/>
      <w:r w:rsidRPr="005674F3">
        <w:rPr>
          <w:sz w:val="22"/>
          <w:szCs w:val="22"/>
        </w:rPr>
        <w:t xml:space="preserve"> </w:t>
      </w:r>
      <w:proofErr w:type="spellStart"/>
      <w:r w:rsidRPr="005674F3">
        <w:rPr>
          <w:sz w:val="22"/>
          <w:szCs w:val="22"/>
        </w:rPr>
        <w:t>pseudoepigrafickým</w:t>
      </w:r>
      <w:proofErr w:type="spellEnd"/>
      <w:r w:rsidRPr="005674F3">
        <w:rPr>
          <w:sz w:val="22"/>
          <w:szCs w:val="22"/>
        </w:rPr>
        <w:t xml:space="preserve"> spisem (srov. W. G. </w:t>
      </w:r>
      <w:proofErr w:type="spellStart"/>
      <w:r w:rsidRPr="005674F3">
        <w:rPr>
          <w:sz w:val="22"/>
          <w:szCs w:val="22"/>
        </w:rPr>
        <w:t>Kümmel</w:t>
      </w:r>
      <w:proofErr w:type="spellEnd"/>
      <w:r w:rsidRPr="005674F3">
        <w:rPr>
          <w:sz w:val="22"/>
          <w:szCs w:val="22"/>
        </w:rPr>
        <w:t xml:space="preserve">; H. </w:t>
      </w:r>
      <w:proofErr w:type="spellStart"/>
      <w:r w:rsidRPr="005674F3">
        <w:rPr>
          <w:sz w:val="22"/>
          <w:szCs w:val="22"/>
        </w:rPr>
        <w:t>Paulsen</w:t>
      </w:r>
      <w:proofErr w:type="spellEnd"/>
      <w:r w:rsidRPr="005674F3">
        <w:rPr>
          <w:sz w:val="22"/>
          <w:szCs w:val="22"/>
        </w:rPr>
        <w:t>), který napsal neznámý židokřesťan pod autoritou Judy, bratra Páně, v období kontroverzí v církvi.</w:t>
      </w:r>
    </w:p>
    <w:p w:rsidR="003141F7" w:rsidRPr="005674F3" w:rsidRDefault="003141F7" w:rsidP="003141F7">
      <w:pPr>
        <w:pStyle w:val="Zkladntextodsazen"/>
        <w:rPr>
          <w:sz w:val="22"/>
          <w:szCs w:val="22"/>
        </w:rPr>
      </w:pPr>
      <w:r w:rsidRPr="005674F3">
        <w:rPr>
          <w:sz w:val="22"/>
          <w:szCs w:val="22"/>
        </w:rPr>
        <w:t xml:space="preserve">Adresáty tohoto listu nelze jednoznačně určit, jelikož údaj v Jud 1b představuje neurčité vyjádření. Jedná se nejspíše o křesťany mimo Palestinu. Profil církevní obce Jud je možné stanovit jen v obrysech. V listu převládá polemika vůči protivníkům církve. Výchozím bodem listu je aktuální ohrožení víry církevní obce (Jud 3). Podle autora listu se vloudili do církevní obce bezbožní lidé, kteří zapírají Ježíše Krista (Jud 4). </w:t>
      </w:r>
    </w:p>
    <w:p w:rsidR="003141F7" w:rsidRPr="005674F3" w:rsidRDefault="003141F7" w:rsidP="003141F7">
      <w:pPr>
        <w:pStyle w:val="Zkladntextodsazen"/>
        <w:rPr>
          <w:sz w:val="22"/>
          <w:szCs w:val="22"/>
        </w:rPr>
      </w:pPr>
      <w:r w:rsidRPr="005674F3">
        <w:rPr>
          <w:sz w:val="22"/>
          <w:szCs w:val="22"/>
        </w:rPr>
        <w:t xml:space="preserve">Z Jud není možné jednoznačně určit místo vzniku listu. Z toho důvodu předkládají biblisté nejrůznější návrhy: Palestina/Sýrie, Alexandrie, Malá Asie. Tvrzení, že Palestina/Sýrie je místem vzniku Jud, podporuje hypotéza, která připisuje autorství listu </w:t>
      </w:r>
      <w:proofErr w:type="spellStart"/>
      <w:r w:rsidRPr="005674F3">
        <w:rPr>
          <w:sz w:val="22"/>
          <w:szCs w:val="22"/>
        </w:rPr>
        <w:t>Judovi</w:t>
      </w:r>
      <w:proofErr w:type="spellEnd"/>
      <w:r w:rsidRPr="005674F3">
        <w:rPr>
          <w:sz w:val="22"/>
          <w:szCs w:val="22"/>
        </w:rPr>
        <w:t xml:space="preserve">, bratru Páně (např. K. H. </w:t>
      </w:r>
      <w:proofErr w:type="spellStart"/>
      <w:r w:rsidRPr="005674F3">
        <w:rPr>
          <w:sz w:val="22"/>
          <w:szCs w:val="22"/>
        </w:rPr>
        <w:t>Schelkle</w:t>
      </w:r>
      <w:proofErr w:type="spellEnd"/>
      <w:r w:rsidRPr="005674F3">
        <w:rPr>
          <w:sz w:val="22"/>
          <w:szCs w:val="22"/>
        </w:rPr>
        <w:t xml:space="preserve">). Tomuto však odporuje situace adresáta a zároveň nepřijetí tohoto listu v syrské církvi. Historie působení tohoto listu (Klement Alexandrijský – cituje jej třikrát) poukazuje na Alexandrii. Informace o křesťanství v Alexandrii na konci 1. stol. jsou tak nepatrné, že Alexandrii jako místo vzniku Jud je třeba chápat čistě hypoteticky. Podobnosti v učení o andělech mezi </w:t>
      </w:r>
      <w:proofErr w:type="gramStart"/>
      <w:r w:rsidRPr="005674F3">
        <w:rPr>
          <w:sz w:val="22"/>
          <w:szCs w:val="22"/>
        </w:rPr>
        <w:t>Jud</w:t>
      </w:r>
      <w:proofErr w:type="gramEnd"/>
      <w:r w:rsidRPr="005674F3">
        <w:rPr>
          <w:sz w:val="22"/>
          <w:szCs w:val="22"/>
        </w:rPr>
        <w:t xml:space="preserve"> a Kol a příbuznost Jud pastorálním listům poukazují na pravděpodobnost vzniku listu v Malé Asii (např. </w:t>
      </w:r>
      <w:r w:rsidRPr="005674F3">
        <w:rPr>
          <w:smallCaps/>
          <w:sz w:val="22"/>
          <w:szCs w:val="22"/>
        </w:rPr>
        <w:t xml:space="preserve">R. </w:t>
      </w:r>
      <w:proofErr w:type="spellStart"/>
      <w:r w:rsidRPr="005674F3">
        <w:rPr>
          <w:sz w:val="22"/>
          <w:szCs w:val="22"/>
        </w:rPr>
        <w:t>Heiligenthal</w:t>
      </w:r>
      <w:proofErr w:type="spellEnd"/>
      <w:r w:rsidRPr="005674F3">
        <w:rPr>
          <w:sz w:val="22"/>
          <w:szCs w:val="22"/>
        </w:rPr>
        <w:t xml:space="preserve">). Zároveň je možné chápat Jud jako svědectví vlivu pavlovské teologie v dějinách církve (srov. Jud 19.20.24n). Brzké přijetí </w:t>
      </w:r>
      <w:proofErr w:type="spellStart"/>
      <w:r w:rsidRPr="005674F3">
        <w:rPr>
          <w:sz w:val="22"/>
          <w:szCs w:val="22"/>
        </w:rPr>
        <w:t>Judova</w:t>
      </w:r>
      <w:proofErr w:type="spellEnd"/>
      <w:r w:rsidRPr="005674F3">
        <w:rPr>
          <w:sz w:val="22"/>
          <w:szCs w:val="22"/>
        </w:rPr>
        <w:t xml:space="preserve"> listu druhým Petrovým listem též poukazuje na Malou Asii, jako místo vzniku Jud. Přesnou dobu sepsání Jud nelze stanovit. Zdá se, že mohl vzniknout v létech 80-100 po Kr</w:t>
      </w:r>
      <w:r w:rsidRPr="005674F3">
        <w:rPr>
          <w:i/>
          <w:sz w:val="22"/>
          <w:szCs w:val="22"/>
        </w:rPr>
        <w:t>.</w:t>
      </w:r>
      <w:r w:rsidRPr="005674F3">
        <w:rPr>
          <w:sz w:val="22"/>
          <w:szCs w:val="22"/>
        </w:rPr>
        <w:t xml:space="preserve"> </w:t>
      </w:r>
    </w:p>
    <w:p w:rsidR="003141F7" w:rsidRPr="005674F3" w:rsidRDefault="003141F7" w:rsidP="003141F7">
      <w:pPr>
        <w:pStyle w:val="Zkladntextodsazen"/>
        <w:rPr>
          <w:sz w:val="22"/>
          <w:szCs w:val="22"/>
        </w:rPr>
      </w:pPr>
    </w:p>
    <w:p w:rsidR="003141F7" w:rsidRPr="005674F3" w:rsidRDefault="003141F7" w:rsidP="003141F7">
      <w:pPr>
        <w:spacing w:after="120" w:line="240" w:lineRule="auto"/>
        <w:jc w:val="both"/>
        <w:rPr>
          <w:rFonts w:ascii="Times New Roman" w:eastAsia="Times New Roman" w:hAnsi="Times New Roman" w:cs="Times New Roman"/>
          <w:i/>
          <w:iCs/>
          <w:lang w:eastAsia="cs-CZ"/>
        </w:rPr>
      </w:pPr>
      <w:bookmarkStart w:id="1" w:name="_Toc190170453"/>
      <w:r w:rsidRPr="005674F3">
        <w:rPr>
          <w:rFonts w:ascii="Times New Roman" w:eastAsia="Times New Roman" w:hAnsi="Times New Roman" w:cs="Times New Roman"/>
          <w:i/>
          <w:iCs/>
          <w:lang w:eastAsia="cs-CZ"/>
        </w:rPr>
        <w:t>3. Struktura a obsah</w:t>
      </w:r>
    </w:p>
    <w:bookmarkEnd w:id="1"/>
    <w:p w:rsidR="003141F7" w:rsidRPr="005674F3" w:rsidRDefault="003141F7" w:rsidP="003141F7">
      <w:pPr>
        <w:pStyle w:val="Seznam"/>
        <w:numPr>
          <w:ilvl w:val="0"/>
          <w:numId w:val="1"/>
        </w:numPr>
        <w:spacing w:after="0"/>
        <w:rPr>
          <w:rFonts w:ascii="Times New Roman" w:hAnsi="Times New Roman"/>
          <w:bCs/>
          <w:smallCaps/>
          <w:sz w:val="22"/>
          <w:szCs w:val="22"/>
        </w:rPr>
      </w:pPr>
      <w:r w:rsidRPr="005674F3">
        <w:rPr>
          <w:rFonts w:ascii="Times New Roman" w:hAnsi="Times New Roman"/>
          <w:bCs/>
          <w:smallCaps/>
          <w:sz w:val="22"/>
          <w:szCs w:val="22"/>
        </w:rPr>
        <w:lastRenderedPageBreak/>
        <w:t>Začátek listu (1-4)</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w:t>
      </w:r>
      <w:proofErr w:type="spellStart"/>
      <w:r w:rsidRPr="005674F3">
        <w:rPr>
          <w:rFonts w:ascii="Times New Roman" w:hAnsi="Times New Roman"/>
          <w:bCs/>
          <w:sz w:val="22"/>
          <w:szCs w:val="22"/>
        </w:rPr>
        <w:t>Preskript</w:t>
      </w:r>
      <w:proofErr w:type="spellEnd"/>
      <w:r w:rsidRPr="005674F3">
        <w:rPr>
          <w:rFonts w:ascii="Times New Roman" w:hAnsi="Times New Roman"/>
          <w:bCs/>
          <w:sz w:val="22"/>
          <w:szCs w:val="22"/>
        </w:rPr>
        <w:t xml:space="preserve"> (1-2)</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Příčina a důvod listu - téma (3-4)</w:t>
      </w:r>
    </w:p>
    <w:p w:rsidR="003141F7" w:rsidRPr="005674F3" w:rsidRDefault="003141F7" w:rsidP="003141F7">
      <w:pPr>
        <w:pStyle w:val="Seznam"/>
        <w:numPr>
          <w:ilvl w:val="0"/>
          <w:numId w:val="1"/>
        </w:numPr>
        <w:spacing w:after="0"/>
        <w:rPr>
          <w:rFonts w:ascii="Times New Roman" w:hAnsi="Times New Roman"/>
          <w:bCs/>
          <w:smallCaps/>
          <w:sz w:val="22"/>
          <w:szCs w:val="22"/>
        </w:rPr>
      </w:pPr>
      <w:r w:rsidRPr="005674F3">
        <w:rPr>
          <w:rFonts w:ascii="Times New Roman" w:hAnsi="Times New Roman"/>
          <w:bCs/>
          <w:smallCaps/>
          <w:sz w:val="22"/>
          <w:szCs w:val="22"/>
        </w:rPr>
        <w:t>Prorocký soudní výrok proti mylným učitelům (5-16)</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Tři příklady trestních rozsudků a jejich aplikace (5-10)</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Tři typy hříšníků propadajících soudu (11-13)</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Proroctví o soudu (14-16)</w:t>
      </w:r>
    </w:p>
    <w:p w:rsidR="003141F7" w:rsidRPr="005674F3" w:rsidRDefault="003141F7" w:rsidP="003141F7">
      <w:pPr>
        <w:pStyle w:val="Seznam"/>
        <w:numPr>
          <w:ilvl w:val="0"/>
          <w:numId w:val="1"/>
        </w:numPr>
        <w:spacing w:after="0"/>
        <w:rPr>
          <w:rFonts w:ascii="Times New Roman" w:hAnsi="Times New Roman"/>
          <w:bCs/>
          <w:smallCaps/>
          <w:sz w:val="22"/>
          <w:szCs w:val="22"/>
        </w:rPr>
      </w:pPr>
      <w:r w:rsidRPr="005674F3">
        <w:rPr>
          <w:rFonts w:ascii="Times New Roman" w:hAnsi="Times New Roman"/>
          <w:bCs/>
          <w:smallCaps/>
          <w:sz w:val="22"/>
          <w:szCs w:val="22"/>
        </w:rPr>
        <w:t>Výzva k vytrvalosti a nápravě bloudících (17-23)</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Od apoštolů předem ohlášený fenomén (17-19)</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Napomenutí ke křesťanskému způsobu života (20-21)</w:t>
      </w:r>
    </w:p>
    <w:p w:rsidR="003141F7" w:rsidRPr="005674F3" w:rsidRDefault="003141F7" w:rsidP="003141F7">
      <w:pPr>
        <w:pStyle w:val="Seznam"/>
        <w:numPr>
          <w:ilvl w:val="1"/>
          <w:numId w:val="1"/>
        </w:numPr>
        <w:spacing w:after="0"/>
        <w:rPr>
          <w:rFonts w:ascii="Times New Roman" w:hAnsi="Times New Roman"/>
          <w:bCs/>
          <w:sz w:val="22"/>
          <w:szCs w:val="22"/>
        </w:rPr>
      </w:pPr>
      <w:r w:rsidRPr="005674F3">
        <w:rPr>
          <w:rFonts w:ascii="Times New Roman" w:hAnsi="Times New Roman"/>
          <w:bCs/>
          <w:sz w:val="22"/>
          <w:szCs w:val="22"/>
        </w:rPr>
        <w:t xml:space="preserve"> Pokyny k jednání vůči členům ohrožujícím společenství (22-23)</w:t>
      </w:r>
    </w:p>
    <w:p w:rsidR="003141F7" w:rsidRPr="005674F3" w:rsidRDefault="003141F7" w:rsidP="003141F7">
      <w:pPr>
        <w:pStyle w:val="Seznam"/>
        <w:numPr>
          <w:ilvl w:val="0"/>
          <w:numId w:val="1"/>
        </w:numPr>
        <w:spacing w:after="0"/>
        <w:rPr>
          <w:rFonts w:ascii="Times New Roman" w:hAnsi="Times New Roman"/>
          <w:bCs/>
          <w:smallCaps/>
          <w:sz w:val="22"/>
          <w:szCs w:val="22"/>
        </w:rPr>
      </w:pPr>
      <w:r w:rsidRPr="005674F3">
        <w:rPr>
          <w:rFonts w:ascii="Times New Roman" w:hAnsi="Times New Roman"/>
          <w:bCs/>
          <w:smallCaps/>
          <w:sz w:val="22"/>
          <w:szCs w:val="22"/>
        </w:rPr>
        <w:t xml:space="preserve">Závěrečná doxologie (24-25) </w:t>
      </w:r>
    </w:p>
    <w:p w:rsidR="003141F7" w:rsidRPr="005674F3" w:rsidRDefault="003141F7" w:rsidP="003141F7">
      <w:pPr>
        <w:spacing w:after="120" w:line="240" w:lineRule="auto"/>
        <w:jc w:val="both"/>
        <w:rPr>
          <w:rFonts w:ascii="Times New Roman" w:eastAsia="Times New Roman" w:hAnsi="Times New Roman" w:cs="Times New Roman"/>
          <w:i/>
          <w:iCs/>
          <w:lang w:eastAsia="cs-CZ"/>
        </w:rPr>
      </w:pPr>
      <w:bookmarkStart w:id="2" w:name="_Toc190170454"/>
    </w:p>
    <w:p w:rsidR="003141F7" w:rsidRPr="005674F3" w:rsidRDefault="003141F7" w:rsidP="003141F7">
      <w:pPr>
        <w:spacing w:after="120" w:line="240" w:lineRule="auto"/>
        <w:jc w:val="both"/>
        <w:rPr>
          <w:rFonts w:ascii="Times New Roman" w:eastAsia="Times New Roman" w:hAnsi="Times New Roman" w:cs="Times New Roman"/>
          <w:i/>
          <w:iCs/>
          <w:lang w:eastAsia="cs-CZ"/>
        </w:rPr>
      </w:pPr>
      <w:r w:rsidRPr="005674F3">
        <w:rPr>
          <w:rFonts w:ascii="Times New Roman" w:eastAsia="Times New Roman" w:hAnsi="Times New Roman" w:cs="Times New Roman"/>
          <w:i/>
          <w:iCs/>
          <w:lang w:eastAsia="cs-CZ"/>
        </w:rPr>
        <w:t>4. Literární a teologický charakter</w:t>
      </w:r>
      <w:bookmarkEnd w:id="2"/>
      <w:r w:rsidRPr="005674F3">
        <w:rPr>
          <w:rFonts w:ascii="Times New Roman" w:eastAsia="Times New Roman" w:hAnsi="Times New Roman" w:cs="Times New Roman"/>
          <w:i/>
          <w:iCs/>
          <w:lang w:eastAsia="cs-CZ"/>
        </w:rPr>
        <w:t xml:space="preserve"> </w:t>
      </w:r>
    </w:p>
    <w:p w:rsidR="003141F7" w:rsidRPr="005674F3" w:rsidRDefault="003141F7" w:rsidP="003141F7">
      <w:pPr>
        <w:pStyle w:val="Zkladntextodsazen"/>
        <w:rPr>
          <w:sz w:val="22"/>
          <w:szCs w:val="22"/>
        </w:rPr>
      </w:pPr>
      <w:r w:rsidRPr="005674F3">
        <w:rPr>
          <w:sz w:val="22"/>
          <w:szCs w:val="22"/>
        </w:rPr>
        <w:t xml:space="preserve">Argumentace </w:t>
      </w:r>
      <w:proofErr w:type="spellStart"/>
      <w:r w:rsidRPr="005674F3">
        <w:rPr>
          <w:sz w:val="22"/>
          <w:szCs w:val="22"/>
        </w:rPr>
        <w:t>Judova</w:t>
      </w:r>
      <w:proofErr w:type="spellEnd"/>
      <w:r w:rsidRPr="005674F3">
        <w:rPr>
          <w:sz w:val="22"/>
          <w:szCs w:val="22"/>
        </w:rPr>
        <w:t xml:space="preserve"> listu je obklopena rozsáhlou a komplexní tradicí. V textu se objevují četné odkazy a narážky na Starý zákon. Nápadné jsou časté odvolávky na staré židovské tradice, což se jinak neobjevuje v Novém zákoně. Řada příkladů v Jud 5-7 rozvíjí souvislost mezi nesprávným životem a Božím soudem a nachází paralely v </w:t>
      </w:r>
      <w:proofErr w:type="gramStart"/>
      <w:r w:rsidRPr="005674F3">
        <w:rPr>
          <w:sz w:val="22"/>
          <w:szCs w:val="22"/>
        </w:rPr>
        <w:t>Sir</w:t>
      </w:r>
      <w:proofErr w:type="gramEnd"/>
      <w:r w:rsidRPr="005674F3">
        <w:rPr>
          <w:sz w:val="22"/>
          <w:szCs w:val="22"/>
        </w:rPr>
        <w:t xml:space="preserve"> 16,6-15; CD 2,17-3,12; 3 Mak 2,4-7; Test-</w:t>
      </w:r>
      <w:proofErr w:type="spellStart"/>
      <w:r w:rsidRPr="005674F3">
        <w:rPr>
          <w:sz w:val="22"/>
          <w:szCs w:val="22"/>
        </w:rPr>
        <w:t>Nef</w:t>
      </w:r>
      <w:proofErr w:type="spellEnd"/>
      <w:r w:rsidRPr="005674F3">
        <w:rPr>
          <w:sz w:val="22"/>
          <w:szCs w:val="22"/>
        </w:rPr>
        <w:t xml:space="preserve"> 3,4-5. Text Jud 6 o padlých andělech zapadá do dlouhé řady židovské interpretace začínající </w:t>
      </w:r>
      <w:proofErr w:type="spellStart"/>
      <w:r w:rsidRPr="005674F3">
        <w:rPr>
          <w:sz w:val="22"/>
          <w:szCs w:val="22"/>
        </w:rPr>
        <w:t>Gn</w:t>
      </w:r>
      <w:proofErr w:type="spellEnd"/>
      <w:r w:rsidRPr="005674F3">
        <w:rPr>
          <w:sz w:val="22"/>
          <w:szCs w:val="22"/>
        </w:rPr>
        <w:t xml:space="preserve"> 6,1-4; podobné texty je možno též objevit v apokalyptické knize: Etiopský </w:t>
      </w:r>
      <w:proofErr w:type="spellStart"/>
      <w:r w:rsidRPr="005674F3">
        <w:rPr>
          <w:sz w:val="22"/>
          <w:szCs w:val="22"/>
        </w:rPr>
        <w:t>Henoch</w:t>
      </w:r>
      <w:proofErr w:type="spellEnd"/>
      <w:r w:rsidRPr="005674F3">
        <w:rPr>
          <w:sz w:val="22"/>
          <w:szCs w:val="22"/>
        </w:rPr>
        <w:t xml:space="preserve"> 10,4-6.11-13; 12,4-13,1. Osudem měst Sodomy a Gomory, o kterém se mluví v </w:t>
      </w:r>
      <w:proofErr w:type="gramStart"/>
      <w:r w:rsidRPr="005674F3">
        <w:rPr>
          <w:sz w:val="22"/>
          <w:szCs w:val="22"/>
        </w:rPr>
        <w:t>Jud</w:t>
      </w:r>
      <w:proofErr w:type="gramEnd"/>
      <w:r w:rsidRPr="005674F3">
        <w:rPr>
          <w:sz w:val="22"/>
          <w:szCs w:val="22"/>
        </w:rPr>
        <w:t xml:space="preserve"> 7, se zabývají nesčetné židovské a křesťanské texty (srov. 3 Mak 2,5; </w:t>
      </w:r>
      <w:proofErr w:type="spellStart"/>
      <w:r w:rsidRPr="005674F3">
        <w:rPr>
          <w:sz w:val="22"/>
          <w:szCs w:val="22"/>
        </w:rPr>
        <w:t>Jub</w:t>
      </w:r>
      <w:proofErr w:type="spellEnd"/>
      <w:r w:rsidRPr="005674F3">
        <w:rPr>
          <w:sz w:val="22"/>
          <w:szCs w:val="22"/>
        </w:rPr>
        <w:t xml:space="preserve"> 16,6; 20,5; 22,22; </w:t>
      </w:r>
      <w:proofErr w:type="spellStart"/>
      <w:r w:rsidRPr="005674F3">
        <w:rPr>
          <w:smallCaps/>
          <w:sz w:val="22"/>
          <w:szCs w:val="22"/>
        </w:rPr>
        <w:t>Josephus</w:t>
      </w:r>
      <w:proofErr w:type="spellEnd"/>
      <w:r w:rsidRPr="005674F3">
        <w:rPr>
          <w:smallCaps/>
          <w:sz w:val="22"/>
          <w:szCs w:val="22"/>
        </w:rPr>
        <w:t xml:space="preserve"> Flavius</w:t>
      </w:r>
      <w:r w:rsidRPr="005674F3">
        <w:rPr>
          <w:sz w:val="22"/>
          <w:szCs w:val="22"/>
        </w:rPr>
        <w:t xml:space="preserve">, </w:t>
      </w:r>
      <w:r w:rsidRPr="005674F3">
        <w:rPr>
          <w:i/>
          <w:sz w:val="22"/>
          <w:szCs w:val="22"/>
        </w:rPr>
        <w:t>Židovská válka</w:t>
      </w:r>
      <w:r w:rsidRPr="005674F3">
        <w:rPr>
          <w:sz w:val="22"/>
          <w:szCs w:val="22"/>
        </w:rPr>
        <w:t xml:space="preserve"> 5,566; </w:t>
      </w:r>
      <w:proofErr w:type="spellStart"/>
      <w:r w:rsidRPr="005674F3">
        <w:rPr>
          <w:sz w:val="22"/>
          <w:szCs w:val="22"/>
        </w:rPr>
        <w:t>Mt</w:t>
      </w:r>
      <w:proofErr w:type="spellEnd"/>
      <w:r w:rsidRPr="005674F3">
        <w:rPr>
          <w:sz w:val="22"/>
          <w:szCs w:val="22"/>
        </w:rPr>
        <w:t xml:space="preserve"> 10,15; 11,24; </w:t>
      </w:r>
      <w:proofErr w:type="spellStart"/>
      <w:r w:rsidRPr="005674F3">
        <w:rPr>
          <w:sz w:val="22"/>
          <w:szCs w:val="22"/>
        </w:rPr>
        <w:t>Lk</w:t>
      </w:r>
      <w:proofErr w:type="spellEnd"/>
      <w:r w:rsidRPr="005674F3">
        <w:rPr>
          <w:sz w:val="22"/>
          <w:szCs w:val="22"/>
        </w:rPr>
        <w:t xml:space="preserve"> 10,12; 17,29). V </w:t>
      </w:r>
      <w:proofErr w:type="gramStart"/>
      <w:r w:rsidRPr="005674F3">
        <w:rPr>
          <w:sz w:val="22"/>
          <w:szCs w:val="22"/>
        </w:rPr>
        <w:t>Jud</w:t>
      </w:r>
      <w:proofErr w:type="gramEnd"/>
      <w:r w:rsidRPr="005674F3">
        <w:rPr>
          <w:sz w:val="22"/>
          <w:szCs w:val="22"/>
        </w:rPr>
        <w:t xml:space="preserve"> 14b.15 autor listu cituje knihu Etiopského </w:t>
      </w:r>
      <w:proofErr w:type="spellStart"/>
      <w:r w:rsidRPr="005674F3">
        <w:rPr>
          <w:sz w:val="22"/>
          <w:szCs w:val="22"/>
        </w:rPr>
        <w:t>Henocha</w:t>
      </w:r>
      <w:proofErr w:type="spellEnd"/>
      <w:r w:rsidRPr="005674F3">
        <w:rPr>
          <w:sz w:val="22"/>
          <w:szCs w:val="22"/>
        </w:rPr>
        <w:t xml:space="preserve"> 1,9, aby zdůraznil bezbožnost protivníků a nezbytnost nastávajícího soudu, který má být nad nimi vykonán. Citace, narážky a způsob argumentace v </w:t>
      </w:r>
      <w:proofErr w:type="gramStart"/>
      <w:r w:rsidRPr="005674F3">
        <w:rPr>
          <w:sz w:val="22"/>
          <w:szCs w:val="22"/>
        </w:rPr>
        <w:t>Jud</w:t>
      </w:r>
      <w:proofErr w:type="gramEnd"/>
      <w:r w:rsidRPr="005674F3">
        <w:rPr>
          <w:sz w:val="22"/>
          <w:szCs w:val="22"/>
        </w:rPr>
        <w:t xml:space="preserve"> ukazují, jak silně byl autor listu židovstvím ovlivněn.</w:t>
      </w:r>
    </w:p>
    <w:p w:rsidR="003141F7" w:rsidRPr="005674F3" w:rsidRDefault="003141F7" w:rsidP="003141F7">
      <w:pPr>
        <w:pStyle w:val="Zkladntextodsazen"/>
        <w:rPr>
          <w:sz w:val="22"/>
          <w:szCs w:val="22"/>
        </w:rPr>
      </w:pPr>
      <w:r w:rsidRPr="005674F3">
        <w:rPr>
          <w:sz w:val="22"/>
          <w:szCs w:val="22"/>
        </w:rPr>
        <w:t xml:space="preserve">List </w:t>
      </w:r>
      <w:proofErr w:type="spellStart"/>
      <w:r w:rsidRPr="005674F3">
        <w:rPr>
          <w:sz w:val="22"/>
          <w:szCs w:val="22"/>
        </w:rPr>
        <w:t>Judův</w:t>
      </w:r>
      <w:proofErr w:type="spellEnd"/>
      <w:r w:rsidRPr="005674F3">
        <w:rPr>
          <w:sz w:val="22"/>
          <w:szCs w:val="22"/>
        </w:rPr>
        <w:t xml:space="preserve"> má za úkol zabezpečit identitu církevní obce. Církevní obec bojuje o víru, která byla „jednou provždy odevzdána Božímu lidu“ (Jud 3). Tato víra je identická s tím, co předpověděli </w:t>
      </w:r>
      <w:proofErr w:type="spellStart"/>
      <w:r w:rsidRPr="005674F3">
        <w:rPr>
          <w:sz w:val="22"/>
          <w:szCs w:val="22"/>
        </w:rPr>
        <w:t>apoštolé</w:t>
      </w:r>
      <w:proofErr w:type="spellEnd"/>
      <w:r w:rsidRPr="005674F3">
        <w:rPr>
          <w:sz w:val="22"/>
          <w:szCs w:val="22"/>
        </w:rPr>
        <w:t xml:space="preserve"> (Jud 17) a je základem života křesťanů a tak celé církve (Jud 20). Nebezpečí, které hrozí církevní obci skrze mylné učení, vyžaduje formulování a prosazení tradice! Tato tradice je zakořeněna všeobecně v židovském myšlení. Proti mylným názorům autor nevystupuje s argumentací, avšak předkládá příklady potrestání ve Starém zákoně. Nejdříve jmenuje tři příklady neposlušnosti (Jud 5-7): 1) Generace izraelského lidu vysvobozeného z Egypta kvůli své neposlušnosti umírá na poušti (</w:t>
      </w:r>
      <w:proofErr w:type="spellStart"/>
      <w:r w:rsidRPr="005674F3">
        <w:rPr>
          <w:sz w:val="22"/>
          <w:szCs w:val="22"/>
        </w:rPr>
        <w:t>Nm</w:t>
      </w:r>
      <w:proofErr w:type="spellEnd"/>
      <w:r w:rsidRPr="005674F3">
        <w:rPr>
          <w:sz w:val="22"/>
          <w:szCs w:val="22"/>
        </w:rPr>
        <w:t xml:space="preserve"> 14); 2) Boží andělé opustili své privilegované místo v nebi a zatoužili po pozemských ženách (</w:t>
      </w:r>
      <w:proofErr w:type="spellStart"/>
      <w:r w:rsidRPr="005674F3">
        <w:rPr>
          <w:sz w:val="22"/>
          <w:szCs w:val="22"/>
        </w:rPr>
        <w:t>Gn</w:t>
      </w:r>
      <w:proofErr w:type="spellEnd"/>
      <w:r w:rsidRPr="005674F3">
        <w:rPr>
          <w:sz w:val="22"/>
          <w:szCs w:val="22"/>
        </w:rPr>
        <w:t xml:space="preserve"> 6,1-4). Bůh je za to uzavřel pod zemí v temnotě až do dne soudu (1 Hen 10, 4-6; kapitoly 12-13); 3) Sodoma a Gomora byly za svou nemravnost potrestány ohněm (</w:t>
      </w:r>
      <w:proofErr w:type="spellStart"/>
      <w:r w:rsidRPr="005674F3">
        <w:rPr>
          <w:sz w:val="22"/>
          <w:szCs w:val="22"/>
        </w:rPr>
        <w:t>Gn</w:t>
      </w:r>
      <w:proofErr w:type="spellEnd"/>
      <w:r w:rsidRPr="005674F3">
        <w:rPr>
          <w:sz w:val="22"/>
          <w:szCs w:val="22"/>
        </w:rPr>
        <w:t xml:space="preserve"> 19,1-28). V aplikační části (Jud 8-10) je zdůrazněn kontrast mezi domýšlivostí nepřátel a mírností archanděla Michaela (legenda na základě </w:t>
      </w:r>
      <w:proofErr w:type="spellStart"/>
      <w:r w:rsidRPr="005674F3">
        <w:rPr>
          <w:sz w:val="22"/>
          <w:szCs w:val="22"/>
        </w:rPr>
        <w:t>Dt</w:t>
      </w:r>
      <w:proofErr w:type="spellEnd"/>
      <w:r w:rsidRPr="005674F3">
        <w:rPr>
          <w:sz w:val="22"/>
          <w:szCs w:val="22"/>
        </w:rPr>
        <w:t xml:space="preserve"> 34). Pak jsou vyjmenovány </w:t>
      </w:r>
      <w:bookmarkStart w:id="3" w:name="_GoBack"/>
      <w:bookmarkEnd w:id="3"/>
      <w:r w:rsidRPr="005674F3">
        <w:rPr>
          <w:sz w:val="22"/>
          <w:szCs w:val="22"/>
        </w:rPr>
        <w:t>tři typy hříšníků (Jud 11-13) propadajících soudu (příklady těch, kdo podle rabínské tradice “nebudou mít podíl na budoucím světě” [</w:t>
      </w:r>
      <w:proofErr w:type="spellStart"/>
      <w:r w:rsidRPr="005674F3">
        <w:rPr>
          <w:i/>
          <w:sz w:val="22"/>
          <w:szCs w:val="22"/>
        </w:rPr>
        <w:t>Aboth</w:t>
      </w:r>
      <w:proofErr w:type="spellEnd"/>
      <w:r w:rsidRPr="005674F3">
        <w:rPr>
          <w:i/>
          <w:sz w:val="22"/>
          <w:szCs w:val="22"/>
        </w:rPr>
        <w:t xml:space="preserve"> R. Nathan</w:t>
      </w:r>
      <w:r w:rsidRPr="005674F3">
        <w:rPr>
          <w:sz w:val="22"/>
          <w:szCs w:val="22"/>
        </w:rPr>
        <w:t xml:space="preserve"> 41,14]): 1) Kain – představitel člověka, který nedbá na Boží zákony; 2) </w:t>
      </w:r>
      <w:proofErr w:type="spellStart"/>
      <w:r w:rsidRPr="005674F3">
        <w:rPr>
          <w:sz w:val="22"/>
          <w:szCs w:val="22"/>
        </w:rPr>
        <w:t>Balám</w:t>
      </w:r>
      <w:proofErr w:type="spellEnd"/>
      <w:r w:rsidRPr="005674F3">
        <w:rPr>
          <w:sz w:val="22"/>
          <w:szCs w:val="22"/>
        </w:rPr>
        <w:t xml:space="preserve"> – přijal od Baláka peníze, aby zlořečil Božímu lidu (</w:t>
      </w:r>
      <w:proofErr w:type="spellStart"/>
      <w:r w:rsidRPr="005674F3">
        <w:rPr>
          <w:sz w:val="22"/>
          <w:szCs w:val="22"/>
        </w:rPr>
        <w:t>Nm</w:t>
      </w:r>
      <w:proofErr w:type="spellEnd"/>
      <w:r w:rsidRPr="005674F3">
        <w:rPr>
          <w:sz w:val="22"/>
          <w:szCs w:val="22"/>
        </w:rPr>
        <w:t xml:space="preserve"> 22,7.28; </w:t>
      </w:r>
      <w:proofErr w:type="spellStart"/>
      <w:r w:rsidRPr="005674F3">
        <w:rPr>
          <w:sz w:val="22"/>
          <w:szCs w:val="22"/>
        </w:rPr>
        <w:t>Dt</w:t>
      </w:r>
      <w:proofErr w:type="spellEnd"/>
      <w:r w:rsidRPr="005674F3">
        <w:rPr>
          <w:sz w:val="22"/>
          <w:szCs w:val="22"/>
        </w:rPr>
        <w:t xml:space="preserve"> 23,5); 3) </w:t>
      </w:r>
      <w:proofErr w:type="spellStart"/>
      <w:r w:rsidRPr="005674F3">
        <w:rPr>
          <w:sz w:val="22"/>
          <w:szCs w:val="22"/>
        </w:rPr>
        <w:t>Kore</w:t>
      </w:r>
      <w:proofErr w:type="spellEnd"/>
      <w:r w:rsidRPr="005674F3">
        <w:rPr>
          <w:sz w:val="22"/>
          <w:szCs w:val="22"/>
        </w:rPr>
        <w:t xml:space="preserve"> – reptal proti Mojžíšovi a </w:t>
      </w:r>
      <w:proofErr w:type="spellStart"/>
      <w:r w:rsidRPr="005674F3">
        <w:rPr>
          <w:sz w:val="22"/>
          <w:szCs w:val="22"/>
        </w:rPr>
        <w:t>Áronovi</w:t>
      </w:r>
      <w:proofErr w:type="spellEnd"/>
      <w:r w:rsidRPr="005674F3">
        <w:rPr>
          <w:sz w:val="22"/>
          <w:szCs w:val="22"/>
        </w:rPr>
        <w:t xml:space="preserve"> (</w:t>
      </w:r>
      <w:proofErr w:type="spellStart"/>
      <w:r w:rsidRPr="005674F3">
        <w:rPr>
          <w:sz w:val="22"/>
          <w:szCs w:val="22"/>
        </w:rPr>
        <w:t>Nm</w:t>
      </w:r>
      <w:proofErr w:type="spellEnd"/>
      <w:r w:rsidRPr="005674F3">
        <w:rPr>
          <w:sz w:val="22"/>
          <w:szCs w:val="22"/>
        </w:rPr>
        <w:t xml:space="preserve"> 16,1nn). Pak následuje proroctví </w:t>
      </w:r>
      <w:proofErr w:type="spellStart"/>
      <w:r w:rsidRPr="005674F3">
        <w:rPr>
          <w:sz w:val="22"/>
          <w:szCs w:val="22"/>
        </w:rPr>
        <w:t>Henochovo</w:t>
      </w:r>
      <w:proofErr w:type="spellEnd"/>
      <w:r w:rsidRPr="005674F3">
        <w:rPr>
          <w:sz w:val="22"/>
          <w:szCs w:val="22"/>
        </w:rPr>
        <w:t xml:space="preserve"> (</w:t>
      </w:r>
      <w:proofErr w:type="spellStart"/>
      <w:r w:rsidRPr="005674F3">
        <w:rPr>
          <w:sz w:val="22"/>
          <w:szCs w:val="22"/>
        </w:rPr>
        <w:t>Gn</w:t>
      </w:r>
      <w:proofErr w:type="spellEnd"/>
      <w:r w:rsidRPr="005674F3">
        <w:rPr>
          <w:sz w:val="22"/>
          <w:szCs w:val="22"/>
        </w:rPr>
        <w:t xml:space="preserve"> 5,23n) o soudu (Jud 14-15). Jud 17-23 obsahuje výzvu k vytrvalosti a nápravě bloudících. </w:t>
      </w:r>
    </w:p>
    <w:p w:rsidR="003141F7" w:rsidRPr="005674F3" w:rsidRDefault="003141F7" w:rsidP="003141F7">
      <w:pPr>
        <w:pStyle w:val="Zkladntextodsazen"/>
        <w:rPr>
          <w:sz w:val="22"/>
          <w:szCs w:val="22"/>
        </w:rPr>
      </w:pPr>
      <w:r w:rsidRPr="005674F3">
        <w:rPr>
          <w:sz w:val="22"/>
          <w:szCs w:val="22"/>
        </w:rPr>
        <w:t xml:space="preserve">Středem christologie Jud je očekávání Pánova příchodu, který se ukáže při soudu se svými anděly (Jud 14n). Projeví své milosrdenství vůči církevní obci (Jud 21) a potrestá protivníky za jejich bezbožnost. Úcta k andělům byla v této církevní obci samozřejmostí (srov. Jud 8n). Je možné tvrdit, že list </w:t>
      </w:r>
      <w:proofErr w:type="spellStart"/>
      <w:r w:rsidRPr="005674F3">
        <w:rPr>
          <w:sz w:val="22"/>
          <w:szCs w:val="22"/>
        </w:rPr>
        <w:t>Judův</w:t>
      </w:r>
      <w:proofErr w:type="spellEnd"/>
      <w:r w:rsidRPr="005674F3">
        <w:rPr>
          <w:sz w:val="22"/>
          <w:szCs w:val="22"/>
        </w:rPr>
        <w:t xml:space="preserve"> poukazuje na společný základ křesťanství a židovství, a proto je významným svědectvím v židokřesťanském dialogu.</w:t>
      </w:r>
    </w:p>
    <w:p w:rsidR="003141F7" w:rsidRPr="005674F3" w:rsidRDefault="003141F7" w:rsidP="003141F7">
      <w:pPr>
        <w:pStyle w:val="Zkladntextodsazen"/>
        <w:rPr>
          <w:sz w:val="22"/>
          <w:szCs w:val="22"/>
        </w:rPr>
      </w:pPr>
    </w:p>
    <w:p w:rsidR="003141F7" w:rsidRPr="005674F3" w:rsidRDefault="003141F7" w:rsidP="003141F7">
      <w:pPr>
        <w:spacing w:after="120" w:line="240" w:lineRule="auto"/>
        <w:jc w:val="both"/>
        <w:rPr>
          <w:rFonts w:ascii="Times New Roman" w:hAnsi="Times New Roman" w:cs="Times New Roman"/>
          <w:i/>
          <w:iCs/>
        </w:rPr>
      </w:pPr>
      <w:r w:rsidRPr="005674F3">
        <w:rPr>
          <w:rFonts w:ascii="Times New Roman" w:hAnsi="Times New Roman" w:cs="Times New Roman"/>
          <w:i/>
          <w:iCs/>
        </w:rPr>
        <w:t>5. Literatura</w:t>
      </w:r>
    </w:p>
    <w:p w:rsidR="003141F7" w:rsidRPr="005674F3" w:rsidRDefault="003141F7" w:rsidP="00FD36F7">
      <w:pPr>
        <w:pStyle w:val="Zkladntextodsazen"/>
        <w:rPr>
          <w:sz w:val="22"/>
          <w:szCs w:val="22"/>
        </w:rPr>
      </w:pPr>
      <w:r w:rsidRPr="005674F3">
        <w:rPr>
          <w:smallCaps/>
          <w:sz w:val="22"/>
          <w:szCs w:val="22"/>
        </w:rPr>
        <w:t>P. Pokorný</w:t>
      </w:r>
      <w:r w:rsidRPr="005674F3">
        <w:rPr>
          <w:sz w:val="22"/>
          <w:szCs w:val="22"/>
        </w:rPr>
        <w:t xml:space="preserve">, </w:t>
      </w:r>
      <w:r w:rsidRPr="005674F3">
        <w:rPr>
          <w:i/>
          <w:iCs/>
          <w:sz w:val="22"/>
          <w:szCs w:val="22"/>
        </w:rPr>
        <w:t>Literární a teologický úvod do Nového zákona</w:t>
      </w:r>
      <w:r w:rsidRPr="005674F3">
        <w:rPr>
          <w:sz w:val="22"/>
          <w:szCs w:val="22"/>
        </w:rPr>
        <w:t>, Praha: Vyšehrad, 1993.</w:t>
      </w:r>
    </w:p>
    <w:p w:rsidR="00FD36F7" w:rsidRPr="005674F3" w:rsidRDefault="00FD36F7" w:rsidP="00FD36F7">
      <w:pPr>
        <w:spacing w:after="0" w:line="240" w:lineRule="auto"/>
        <w:ind w:left="284" w:hanging="284"/>
        <w:jc w:val="both"/>
        <w:rPr>
          <w:rFonts w:ascii="Times New Roman" w:hAnsi="Times New Roman" w:cs="Times New Roman"/>
          <w:iCs/>
        </w:rPr>
      </w:pPr>
      <w:proofErr w:type="gramStart"/>
      <w:r w:rsidRPr="005674F3">
        <w:rPr>
          <w:rFonts w:ascii="Times New Roman" w:hAnsi="Times New Roman" w:cs="Times New Roman"/>
        </w:rPr>
        <w:t>P.-A.</w:t>
      </w:r>
      <w:proofErr w:type="gramEnd"/>
      <w:r w:rsidRPr="005674F3">
        <w:rPr>
          <w:rFonts w:ascii="Times New Roman" w:hAnsi="Times New Roman" w:cs="Times New Roman"/>
        </w:rPr>
        <w:t xml:space="preserve"> </w:t>
      </w:r>
      <w:proofErr w:type="spellStart"/>
      <w:r w:rsidRPr="005674F3">
        <w:rPr>
          <w:rFonts w:ascii="Times New Roman" w:hAnsi="Times New Roman" w:cs="Times New Roman"/>
          <w:iCs/>
          <w:smallCaps/>
        </w:rPr>
        <w:t>Seethaler</w:t>
      </w:r>
      <w:proofErr w:type="spellEnd"/>
      <w:r w:rsidRPr="005674F3">
        <w:rPr>
          <w:rFonts w:ascii="Times New Roman" w:hAnsi="Times New Roman" w:cs="Times New Roman"/>
        </w:rPr>
        <w:t xml:space="preserve">, </w:t>
      </w:r>
      <w:r w:rsidRPr="005674F3">
        <w:rPr>
          <w:rFonts w:ascii="Times New Roman" w:hAnsi="Times New Roman" w:cs="Times New Roman"/>
          <w:i/>
        </w:rPr>
        <w:t xml:space="preserve">První a druhý list Petrův, List </w:t>
      </w:r>
      <w:proofErr w:type="spellStart"/>
      <w:r w:rsidRPr="005674F3">
        <w:rPr>
          <w:rFonts w:ascii="Times New Roman" w:hAnsi="Times New Roman" w:cs="Times New Roman"/>
          <w:i/>
        </w:rPr>
        <w:t>Judův</w:t>
      </w:r>
      <w:proofErr w:type="spellEnd"/>
      <w:r w:rsidRPr="005674F3">
        <w:rPr>
          <w:rFonts w:ascii="Times New Roman" w:hAnsi="Times New Roman" w:cs="Times New Roman"/>
        </w:rPr>
        <w:t xml:space="preserve">, MSKNZ 16, Kostelní Vydří: </w:t>
      </w:r>
      <w:r w:rsidRPr="005674F3">
        <w:rPr>
          <w:rFonts w:ascii="Times New Roman" w:hAnsi="Times New Roman" w:cs="Times New Roman"/>
          <w:iCs/>
        </w:rPr>
        <w:t>Karmelitánské nakladatelství, 2001.</w:t>
      </w:r>
    </w:p>
    <w:p w:rsidR="003141F7" w:rsidRPr="005674F3" w:rsidRDefault="003141F7" w:rsidP="005674F3">
      <w:pPr>
        <w:spacing w:after="0" w:line="240" w:lineRule="auto"/>
        <w:jc w:val="both"/>
        <w:rPr>
          <w:rFonts w:ascii="Times New Roman" w:hAnsi="Times New Roman" w:cs="Times New Roman"/>
        </w:rPr>
      </w:pPr>
      <w:r w:rsidRPr="005674F3">
        <w:rPr>
          <w:rFonts w:ascii="Times New Roman" w:hAnsi="Times New Roman" w:cs="Times New Roman"/>
          <w:smallCaps/>
        </w:rPr>
        <w:t xml:space="preserve">L. Tichý, </w:t>
      </w:r>
      <w:r w:rsidRPr="005674F3">
        <w:rPr>
          <w:rFonts w:ascii="Times New Roman" w:hAnsi="Times New Roman" w:cs="Times New Roman"/>
          <w:i/>
          <w:iCs/>
        </w:rPr>
        <w:t>Úvod do Nového zákona</w:t>
      </w:r>
      <w:r w:rsidRPr="005674F3">
        <w:rPr>
          <w:rFonts w:ascii="Times New Roman" w:hAnsi="Times New Roman" w:cs="Times New Roman"/>
        </w:rPr>
        <w:t xml:space="preserve">, Svitavy: </w:t>
      </w:r>
      <w:proofErr w:type="spellStart"/>
      <w:r w:rsidRPr="005674F3">
        <w:rPr>
          <w:rFonts w:ascii="Times New Roman" w:hAnsi="Times New Roman" w:cs="Times New Roman"/>
        </w:rPr>
        <w:t>Trinitas</w:t>
      </w:r>
      <w:proofErr w:type="spellEnd"/>
      <w:r w:rsidRPr="005674F3">
        <w:rPr>
          <w:rFonts w:ascii="Times New Roman" w:hAnsi="Times New Roman" w:cs="Times New Roman"/>
        </w:rPr>
        <w:t>, 2003</w:t>
      </w:r>
      <w:r w:rsidRPr="005674F3">
        <w:rPr>
          <w:rFonts w:ascii="Times New Roman" w:hAnsi="Times New Roman" w:cs="Times New Roman"/>
          <w:vertAlign w:val="superscript"/>
        </w:rPr>
        <w:t>2</w:t>
      </w:r>
      <w:r w:rsidRPr="005674F3">
        <w:rPr>
          <w:rFonts w:ascii="Times New Roman" w:hAnsi="Times New Roman" w:cs="Times New Roman"/>
        </w:rPr>
        <w:t>.</w:t>
      </w:r>
    </w:p>
    <w:sectPr w:rsidR="003141F7" w:rsidRPr="005674F3" w:rsidSect="00AB0C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D1CF7"/>
    <w:multiLevelType w:val="multilevel"/>
    <w:tmpl w:val="AD1CAAE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2151"/>
        </w:tabs>
        <w:ind w:left="2151" w:hanging="108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3225"/>
        </w:tabs>
        <w:ind w:left="3225" w:hanging="144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4299"/>
        </w:tabs>
        <w:ind w:left="4299" w:hanging="180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141F7"/>
    <w:rsid w:val="003141F7"/>
    <w:rsid w:val="005674F3"/>
    <w:rsid w:val="00652FD8"/>
    <w:rsid w:val="00AB0C6F"/>
    <w:rsid w:val="00AF7D72"/>
    <w:rsid w:val="00FD36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0C6F"/>
  </w:style>
  <w:style w:type="paragraph" w:styleId="Nadpis5">
    <w:name w:val="heading 5"/>
    <w:basedOn w:val="Normln"/>
    <w:next w:val="Normln"/>
    <w:link w:val="Nadpis5Char"/>
    <w:qFormat/>
    <w:rsid w:val="003141F7"/>
    <w:pPr>
      <w:spacing w:before="240" w:after="60" w:line="240" w:lineRule="auto"/>
      <w:outlineLvl w:val="4"/>
    </w:pPr>
    <w:rPr>
      <w:rFonts w:ascii="Times New Roman" w:eastAsia="Times New Roman"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3141F7"/>
    <w:rPr>
      <w:rFonts w:ascii="Times New Roman" w:eastAsia="Times New Roman" w:hAnsi="Times New Roman" w:cs="Times New Roman"/>
      <w:b/>
      <w:bCs/>
      <w:i/>
      <w:iCs/>
      <w:sz w:val="26"/>
      <w:szCs w:val="26"/>
      <w:lang w:eastAsia="cs-CZ"/>
    </w:rPr>
  </w:style>
  <w:style w:type="paragraph" w:styleId="Zkladntextodsazen">
    <w:name w:val="Body Text Indent"/>
    <w:basedOn w:val="Normln"/>
    <w:link w:val="ZkladntextodsazenChar"/>
    <w:rsid w:val="003141F7"/>
    <w:pPr>
      <w:spacing w:after="0" w:line="240" w:lineRule="auto"/>
      <w:ind w:firstLine="284"/>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141F7"/>
    <w:rPr>
      <w:rFonts w:ascii="Times New Roman" w:eastAsia="Times New Roman" w:hAnsi="Times New Roman" w:cs="Times New Roman"/>
      <w:sz w:val="24"/>
      <w:szCs w:val="24"/>
      <w:lang w:eastAsia="cs-CZ"/>
    </w:rPr>
  </w:style>
  <w:style w:type="paragraph" w:styleId="Seznam">
    <w:name w:val="List"/>
    <w:basedOn w:val="Zkladntext"/>
    <w:rsid w:val="003141F7"/>
    <w:pPr>
      <w:tabs>
        <w:tab w:val="left" w:pos="720"/>
      </w:tabs>
      <w:overflowPunct w:val="0"/>
      <w:autoSpaceDE w:val="0"/>
      <w:autoSpaceDN w:val="0"/>
      <w:adjustRightInd w:val="0"/>
      <w:spacing w:after="240" w:line="240" w:lineRule="auto"/>
      <w:ind w:left="360"/>
      <w:jc w:val="both"/>
      <w:textAlignment w:val="baseline"/>
    </w:pPr>
    <w:rPr>
      <w:rFonts w:ascii="Arial" w:eastAsia="Times New Roman" w:hAnsi="Arial" w:cs="Times New Roman"/>
      <w:spacing w:val="-5"/>
      <w:sz w:val="24"/>
      <w:szCs w:val="20"/>
      <w:lang w:eastAsia="cs-CZ"/>
    </w:rPr>
  </w:style>
  <w:style w:type="paragraph" w:styleId="Zkladntext">
    <w:name w:val="Body Text"/>
    <w:basedOn w:val="Normln"/>
    <w:link w:val="ZkladntextChar"/>
    <w:uiPriority w:val="99"/>
    <w:semiHidden/>
    <w:unhideWhenUsed/>
    <w:rsid w:val="003141F7"/>
    <w:pPr>
      <w:spacing w:after="120"/>
    </w:pPr>
  </w:style>
  <w:style w:type="character" w:customStyle="1" w:styleId="ZkladntextChar">
    <w:name w:val="Základní text Char"/>
    <w:basedOn w:val="Standardnpsmoodstavce"/>
    <w:link w:val="Zkladntext"/>
    <w:uiPriority w:val="99"/>
    <w:semiHidden/>
    <w:rsid w:val="003141F7"/>
  </w:style>
  <w:style w:type="paragraph" w:styleId="Odstavecseseznamem">
    <w:name w:val="List Paragraph"/>
    <w:basedOn w:val="Normln"/>
    <w:uiPriority w:val="34"/>
    <w:qFormat/>
    <w:rsid w:val="003141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qFormat/>
    <w:rsid w:val="003141F7"/>
    <w:pPr>
      <w:spacing w:before="240" w:after="60" w:line="240" w:lineRule="auto"/>
      <w:outlineLvl w:val="4"/>
    </w:pPr>
    <w:rPr>
      <w:rFonts w:ascii="Times New Roman" w:eastAsia="Times New Roman" w:hAnsi="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3141F7"/>
    <w:rPr>
      <w:rFonts w:ascii="Times New Roman" w:eastAsia="Times New Roman" w:hAnsi="Times New Roman" w:cs="Times New Roman"/>
      <w:b/>
      <w:bCs/>
      <w:i/>
      <w:iCs/>
      <w:sz w:val="26"/>
      <w:szCs w:val="26"/>
      <w:lang w:eastAsia="cs-CZ"/>
    </w:rPr>
  </w:style>
  <w:style w:type="paragraph" w:styleId="Zkladntextodsazen">
    <w:name w:val="Body Text Indent"/>
    <w:basedOn w:val="Normln"/>
    <w:link w:val="ZkladntextodsazenChar"/>
    <w:rsid w:val="003141F7"/>
    <w:pPr>
      <w:spacing w:after="0" w:line="240" w:lineRule="auto"/>
      <w:ind w:firstLine="284"/>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3141F7"/>
    <w:rPr>
      <w:rFonts w:ascii="Times New Roman" w:eastAsia="Times New Roman" w:hAnsi="Times New Roman" w:cs="Times New Roman"/>
      <w:sz w:val="24"/>
      <w:szCs w:val="24"/>
      <w:lang w:eastAsia="cs-CZ"/>
    </w:rPr>
  </w:style>
  <w:style w:type="paragraph" w:styleId="Seznam">
    <w:name w:val="List"/>
    <w:basedOn w:val="Zkladntext"/>
    <w:rsid w:val="003141F7"/>
    <w:pPr>
      <w:tabs>
        <w:tab w:val="left" w:pos="720"/>
      </w:tabs>
      <w:overflowPunct w:val="0"/>
      <w:autoSpaceDE w:val="0"/>
      <w:autoSpaceDN w:val="0"/>
      <w:adjustRightInd w:val="0"/>
      <w:spacing w:after="240" w:line="240" w:lineRule="auto"/>
      <w:ind w:left="360"/>
      <w:jc w:val="both"/>
      <w:textAlignment w:val="baseline"/>
    </w:pPr>
    <w:rPr>
      <w:rFonts w:ascii="Arial" w:eastAsia="Times New Roman" w:hAnsi="Arial" w:cs="Times New Roman"/>
      <w:spacing w:val="-5"/>
      <w:sz w:val="24"/>
      <w:szCs w:val="20"/>
      <w:lang w:eastAsia="cs-CZ"/>
    </w:rPr>
  </w:style>
  <w:style w:type="paragraph" w:styleId="Zkladntext">
    <w:name w:val="Body Text"/>
    <w:basedOn w:val="Normln"/>
    <w:link w:val="ZkladntextChar"/>
    <w:uiPriority w:val="99"/>
    <w:semiHidden/>
    <w:unhideWhenUsed/>
    <w:rsid w:val="003141F7"/>
    <w:pPr>
      <w:spacing w:after="120"/>
    </w:pPr>
  </w:style>
  <w:style w:type="character" w:customStyle="1" w:styleId="ZkladntextChar">
    <w:name w:val="Základní text Char"/>
    <w:basedOn w:val="Standardnpsmoodstavce"/>
    <w:link w:val="Zkladntext"/>
    <w:uiPriority w:val="99"/>
    <w:semiHidden/>
    <w:rsid w:val="003141F7"/>
  </w:style>
  <w:style w:type="paragraph" w:styleId="Odstavecseseznamem">
    <w:name w:val="List Paragraph"/>
    <w:basedOn w:val="Normln"/>
    <w:uiPriority w:val="34"/>
    <w:qFormat/>
    <w:rsid w:val="003141F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1202</Words>
  <Characters>7098</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Mareček</dc:creator>
  <cp:lastModifiedBy>pospisilova</cp:lastModifiedBy>
  <cp:revision>3</cp:revision>
  <cp:lastPrinted>2015-03-27T07:06:00Z</cp:lastPrinted>
  <dcterms:created xsi:type="dcterms:W3CDTF">2015-03-24T19:03:00Z</dcterms:created>
  <dcterms:modified xsi:type="dcterms:W3CDTF">2015-03-27T07:07:00Z</dcterms:modified>
</cp:coreProperties>
</file>