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6B" w:rsidRPr="00EA4B41" w:rsidRDefault="00CF4A6B" w:rsidP="008A5FEF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EA4B41">
        <w:rPr>
          <w:rFonts w:ascii="Times New Roman" w:hAnsi="Times New Roman"/>
          <w:i/>
          <w:iCs/>
          <w:sz w:val="24"/>
          <w:szCs w:val="24"/>
          <w:lang w:eastAsia="cs-CZ"/>
        </w:rPr>
        <w:t>1. Úvodní charakteristika</w:t>
      </w:r>
    </w:p>
    <w:p w:rsidR="00CF4A6B" w:rsidRPr="00EA4B41" w:rsidRDefault="00CF4A6B" w:rsidP="003A134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4B41">
        <w:rPr>
          <w:rFonts w:ascii="Times New Roman" w:hAnsi="Times New Roman"/>
          <w:sz w:val="24"/>
          <w:szCs w:val="24"/>
        </w:rPr>
        <w:t>Druhý list Petrův si dělá nárok být závětí apoštola Šimona Petra (1,1.13-15). Odvolání na událost proměnění na hoře (1,16-18), zmínka o prvním dopise 1 Petr (srov. 3,1) a vykreslený obraz apoštola Pavla (3,15n) mají ještě zesílit tento dojem. Nicméně nejen jazykové</w:t>
      </w:r>
      <w:r w:rsidR="00B47B22">
        <w:rPr>
          <w:rFonts w:ascii="Times New Roman" w:hAnsi="Times New Roman"/>
          <w:sz w:val="24"/>
          <w:szCs w:val="24"/>
        </w:rPr>
        <w:br/>
      </w:r>
      <w:r w:rsidRPr="00EA4B41">
        <w:rPr>
          <w:rFonts w:ascii="Times New Roman" w:hAnsi="Times New Roman"/>
          <w:sz w:val="24"/>
          <w:szCs w:val="24"/>
        </w:rPr>
        <w:t>a obsahové odlišnosti mezi 1 Petr a 2 Petr, avšak rovněž odkaz na zemřelé otce v 2 Petr 3,4, ke kterým náleží též apoštol Petr, dávají najevo, že apoštol Petr nemohl být autorem tohoto listu. Druhý list Petrův byl sepsán někým, kdo v Petrově autoritě adresoval tento list křesťanům.</w:t>
      </w:r>
    </w:p>
    <w:p w:rsidR="00CF4A6B" w:rsidRPr="00EA4B41" w:rsidRDefault="00CF4A6B" w:rsidP="003A134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F4A6B" w:rsidRPr="00EA4B41" w:rsidRDefault="00CF4A6B" w:rsidP="008A5FEF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EA4B41">
        <w:rPr>
          <w:rFonts w:ascii="Times New Roman" w:hAnsi="Times New Roman"/>
          <w:i/>
          <w:iCs/>
          <w:sz w:val="24"/>
          <w:szCs w:val="24"/>
          <w:lang w:eastAsia="cs-CZ"/>
        </w:rPr>
        <w:t xml:space="preserve">2.  Okolnosti vzniku </w:t>
      </w:r>
    </w:p>
    <w:p w:rsidR="00CF4A6B" w:rsidRPr="00EA4B41" w:rsidRDefault="00CF4A6B" w:rsidP="00B47B2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4B41">
        <w:rPr>
          <w:rFonts w:ascii="Times New Roman" w:hAnsi="Times New Roman"/>
          <w:sz w:val="24"/>
          <w:szCs w:val="24"/>
        </w:rPr>
        <w:t xml:space="preserve">Na základě literární závislosti 2 Petr na Listu apoštola Judy (srov. 2 Petr 2,1-22 s Jud 5-16) je možné se domnívat, že 2 Petr vznikl krátce po </w:t>
      </w:r>
      <w:proofErr w:type="gramStart"/>
      <w:r w:rsidRPr="00EA4B41">
        <w:rPr>
          <w:rFonts w:ascii="Times New Roman" w:hAnsi="Times New Roman"/>
          <w:sz w:val="24"/>
          <w:szCs w:val="24"/>
        </w:rPr>
        <w:t>Jud</w:t>
      </w:r>
      <w:proofErr w:type="gramEnd"/>
      <w:r w:rsidRPr="00EA4B41">
        <w:rPr>
          <w:rFonts w:ascii="Times New Roman" w:hAnsi="Times New Roman"/>
          <w:sz w:val="24"/>
          <w:szCs w:val="24"/>
        </w:rPr>
        <w:t xml:space="preserve"> kolem roku 110-120. Jedná se patrně</w:t>
      </w:r>
      <w:r w:rsidR="00B47B22">
        <w:rPr>
          <w:rFonts w:ascii="Times New Roman" w:hAnsi="Times New Roman"/>
          <w:sz w:val="24"/>
          <w:szCs w:val="24"/>
        </w:rPr>
        <w:br/>
      </w:r>
      <w:r w:rsidRPr="00EA4B41">
        <w:rPr>
          <w:rFonts w:ascii="Times New Roman" w:hAnsi="Times New Roman"/>
          <w:sz w:val="24"/>
          <w:szCs w:val="24"/>
        </w:rPr>
        <w:t>o nejmladší knihu Nového zákona. Autor mohl být helénisticky vzdělaný židokřesťan.</w:t>
      </w:r>
      <w:r w:rsidR="00B47B22">
        <w:rPr>
          <w:rFonts w:ascii="Times New Roman" w:hAnsi="Times New Roman"/>
          <w:sz w:val="24"/>
          <w:szCs w:val="24"/>
        </w:rPr>
        <w:t xml:space="preserve"> </w:t>
      </w:r>
      <w:r w:rsidR="00B47B22">
        <w:rPr>
          <w:rFonts w:ascii="Times New Roman" w:hAnsi="Times New Roman"/>
          <w:sz w:val="24"/>
          <w:szCs w:val="24"/>
        </w:rPr>
        <w:br/>
      </w:r>
      <w:r w:rsidRPr="00EA4B41">
        <w:rPr>
          <w:rFonts w:ascii="Times New Roman" w:hAnsi="Times New Roman"/>
          <w:sz w:val="24"/>
          <w:szCs w:val="24"/>
        </w:rPr>
        <w:t xml:space="preserve">O místě vzniku (možná Malá Asie) nelze nic s jistotou říci. </w:t>
      </w:r>
    </w:p>
    <w:p w:rsidR="00CF4A6B" w:rsidRPr="00EA4B41" w:rsidRDefault="00CF4A6B" w:rsidP="003C1C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F4A6B" w:rsidRPr="00EA4B41" w:rsidRDefault="00CF4A6B" w:rsidP="008A5FEF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EA4B41">
        <w:rPr>
          <w:rFonts w:ascii="Times New Roman" w:hAnsi="Times New Roman"/>
          <w:i/>
          <w:iCs/>
          <w:sz w:val="24"/>
          <w:szCs w:val="24"/>
          <w:lang w:eastAsia="cs-CZ"/>
        </w:rPr>
        <w:t>3. Struktura a obsah</w:t>
      </w:r>
    </w:p>
    <w:p w:rsidR="00CF4A6B" w:rsidRPr="00EA4B41" w:rsidRDefault="00CF4A6B" w:rsidP="003A1348">
      <w:pPr>
        <w:pStyle w:val="Seznam"/>
        <w:numPr>
          <w:ilvl w:val="0"/>
          <w:numId w:val="1"/>
        </w:numPr>
        <w:spacing w:after="0"/>
        <w:rPr>
          <w:rFonts w:ascii="Times New Roman" w:hAnsi="Times New Roman"/>
          <w:bCs/>
          <w:smallCaps/>
          <w:szCs w:val="24"/>
        </w:rPr>
      </w:pPr>
      <w:proofErr w:type="spellStart"/>
      <w:r w:rsidRPr="00EA4B41">
        <w:rPr>
          <w:rFonts w:ascii="Times New Roman" w:hAnsi="Times New Roman"/>
          <w:bCs/>
          <w:smallCaps/>
          <w:szCs w:val="24"/>
        </w:rPr>
        <w:t>Preskript</w:t>
      </w:r>
      <w:proofErr w:type="spellEnd"/>
      <w:r w:rsidRPr="00EA4B41">
        <w:rPr>
          <w:rFonts w:ascii="Times New Roman" w:hAnsi="Times New Roman"/>
          <w:bCs/>
          <w:smallCaps/>
          <w:szCs w:val="24"/>
        </w:rPr>
        <w:t xml:space="preserve"> (1,1-2)</w:t>
      </w:r>
    </w:p>
    <w:p w:rsidR="00CF4A6B" w:rsidRPr="00EA4B41" w:rsidRDefault="00CF4A6B" w:rsidP="003A1348">
      <w:pPr>
        <w:pStyle w:val="Seznam"/>
        <w:numPr>
          <w:ilvl w:val="0"/>
          <w:numId w:val="1"/>
        </w:numPr>
        <w:spacing w:after="0"/>
        <w:rPr>
          <w:rFonts w:ascii="Times New Roman" w:hAnsi="Times New Roman"/>
          <w:bCs/>
          <w:smallCaps/>
          <w:szCs w:val="24"/>
        </w:rPr>
      </w:pPr>
      <w:r w:rsidRPr="00EA4B41">
        <w:rPr>
          <w:rFonts w:ascii="Times New Roman" w:hAnsi="Times New Roman"/>
          <w:bCs/>
          <w:smallCaps/>
          <w:szCs w:val="24"/>
        </w:rPr>
        <w:t>Život v přijaté tradici (1,3-21)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Boží milost a ctnostný život (1,3-11)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Apoštolské svědectví – Petrova závěť (1,12-15)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Proměnění Páně a jeho paruzie (1,16-18)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Výroky proroků (1,19)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Správný výklad inspirovaného Písma (1,20-21)</w:t>
      </w:r>
    </w:p>
    <w:p w:rsidR="00CF4A6B" w:rsidRPr="00EA4B41" w:rsidRDefault="00CF4A6B" w:rsidP="003A1348">
      <w:pPr>
        <w:pStyle w:val="Seznam"/>
        <w:numPr>
          <w:ilvl w:val="0"/>
          <w:numId w:val="1"/>
        </w:numPr>
        <w:spacing w:after="0"/>
        <w:rPr>
          <w:rFonts w:ascii="Times New Roman" w:hAnsi="Times New Roman"/>
          <w:bCs/>
          <w:smallCaps/>
          <w:szCs w:val="24"/>
        </w:rPr>
      </w:pPr>
      <w:r w:rsidRPr="00EA4B41">
        <w:rPr>
          <w:rFonts w:ascii="Times New Roman" w:hAnsi="Times New Roman"/>
          <w:bCs/>
          <w:smallCaps/>
          <w:szCs w:val="24"/>
        </w:rPr>
        <w:t>Varování před mylnými učiteli (2,1-22)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Zvrhlost učitelů bludů (2,1-3)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Boží tresty v minulosti (2,4-10)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Zkaženost falešných učitelů a jejich zkáza (2,11-22)</w:t>
      </w:r>
    </w:p>
    <w:p w:rsidR="00CF4A6B" w:rsidRPr="00EA4B41" w:rsidRDefault="00CF4A6B" w:rsidP="003A1348">
      <w:pPr>
        <w:pStyle w:val="Seznam"/>
        <w:numPr>
          <w:ilvl w:val="0"/>
          <w:numId w:val="1"/>
        </w:numPr>
        <w:spacing w:after="0"/>
        <w:rPr>
          <w:rFonts w:ascii="Times New Roman" w:hAnsi="Times New Roman"/>
          <w:bCs/>
          <w:smallCaps/>
          <w:szCs w:val="24"/>
        </w:rPr>
      </w:pPr>
      <w:r w:rsidRPr="00EA4B41">
        <w:rPr>
          <w:rFonts w:ascii="Times New Roman" w:hAnsi="Times New Roman"/>
          <w:bCs/>
          <w:smallCaps/>
          <w:szCs w:val="24"/>
        </w:rPr>
        <w:t xml:space="preserve">Vytrvalost v očekávání druhého Kristova příchodu (3,1-16) 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Svědectví apoštolů (3,1-2)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</w:t>
      </w:r>
      <w:proofErr w:type="spellStart"/>
      <w:r w:rsidRPr="00EA4B41">
        <w:rPr>
          <w:rFonts w:ascii="Times New Roman" w:hAnsi="Times New Roman"/>
          <w:bCs/>
          <w:szCs w:val="24"/>
        </w:rPr>
        <w:t>Posměvači</w:t>
      </w:r>
      <w:proofErr w:type="spellEnd"/>
      <w:r w:rsidRPr="00EA4B41">
        <w:rPr>
          <w:rFonts w:ascii="Times New Roman" w:hAnsi="Times New Roman"/>
          <w:bCs/>
          <w:szCs w:val="24"/>
        </w:rPr>
        <w:t>, kteří popírají druhý Kristův příchod (3,3-10)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Eschatologie a výzva ke svatosti (3,11-14)</w:t>
      </w:r>
    </w:p>
    <w:p w:rsidR="00CF4A6B" w:rsidRPr="00EA4B41" w:rsidRDefault="00CF4A6B" w:rsidP="003A1348">
      <w:pPr>
        <w:pStyle w:val="Seznam"/>
        <w:numPr>
          <w:ilvl w:val="1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EA4B41">
        <w:rPr>
          <w:rFonts w:ascii="Times New Roman" w:hAnsi="Times New Roman"/>
          <w:bCs/>
          <w:szCs w:val="24"/>
        </w:rPr>
        <w:t xml:space="preserve"> Správná interpretace Pavlových listů (3,15-16)</w:t>
      </w:r>
    </w:p>
    <w:p w:rsidR="00CF4A6B" w:rsidRPr="00EA4B41" w:rsidRDefault="00CF4A6B" w:rsidP="003A1348">
      <w:pPr>
        <w:pStyle w:val="Seznam"/>
        <w:numPr>
          <w:ilvl w:val="0"/>
          <w:numId w:val="1"/>
        </w:numPr>
        <w:spacing w:after="0"/>
        <w:rPr>
          <w:rFonts w:ascii="Times New Roman" w:hAnsi="Times New Roman"/>
          <w:bCs/>
          <w:smallCaps/>
          <w:szCs w:val="24"/>
        </w:rPr>
      </w:pPr>
      <w:r w:rsidRPr="00EA4B41">
        <w:rPr>
          <w:rFonts w:ascii="Times New Roman" w:hAnsi="Times New Roman"/>
          <w:bCs/>
          <w:smallCaps/>
          <w:szCs w:val="24"/>
        </w:rPr>
        <w:t xml:space="preserve">Závěrečné povzbuzení a doxologie (3,17-18) </w:t>
      </w:r>
    </w:p>
    <w:p w:rsidR="00CF4A6B" w:rsidRPr="00EA4B41" w:rsidRDefault="00CF4A6B" w:rsidP="008A5FEF">
      <w:pPr>
        <w:spacing w:after="0" w:line="240" w:lineRule="auto"/>
        <w:rPr>
          <w:rFonts w:ascii="Times New Roman" w:hAnsi="Times New Roman"/>
        </w:rPr>
      </w:pPr>
    </w:p>
    <w:p w:rsidR="00CF4A6B" w:rsidRPr="00EA4B41" w:rsidRDefault="00CF4A6B" w:rsidP="008A5FEF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EA4B41">
        <w:rPr>
          <w:rFonts w:ascii="Times New Roman" w:hAnsi="Times New Roman"/>
          <w:i/>
          <w:iCs/>
          <w:sz w:val="24"/>
          <w:szCs w:val="24"/>
          <w:lang w:eastAsia="cs-CZ"/>
        </w:rPr>
        <w:t>4. Teologický význam</w:t>
      </w:r>
    </w:p>
    <w:p w:rsidR="00CF4A6B" w:rsidRPr="00EA4B41" w:rsidRDefault="00CF4A6B" w:rsidP="003C1C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4B41">
        <w:rPr>
          <w:rFonts w:ascii="Times New Roman" w:hAnsi="Times New Roman"/>
          <w:sz w:val="24"/>
          <w:szCs w:val="24"/>
        </w:rPr>
        <w:t>Druhý list Petrům je důležitý svědek pro význam apoštolské tradice v </w:t>
      </w:r>
      <w:proofErr w:type="spellStart"/>
      <w:r w:rsidRPr="00EA4B41">
        <w:rPr>
          <w:rFonts w:ascii="Times New Roman" w:hAnsi="Times New Roman"/>
          <w:sz w:val="24"/>
          <w:szCs w:val="24"/>
        </w:rPr>
        <w:t>poapoštolské</w:t>
      </w:r>
      <w:proofErr w:type="spellEnd"/>
      <w:r w:rsidRPr="00EA4B41">
        <w:rPr>
          <w:rFonts w:ascii="Times New Roman" w:hAnsi="Times New Roman"/>
          <w:sz w:val="24"/>
          <w:szCs w:val="24"/>
        </w:rPr>
        <w:t xml:space="preserve"> církvi. Církev je vyzvána, aby se pevně držela toho, co ji svěřili apoštolové jako rozhodující svědkové události s Kristem a jako zplnomocnění nositelé poselství spásy. 2 Petr kromě toho je důležitým svědkem pro dějiny novozákonního kánonu a pro ranou křesťanskou úvahu </w:t>
      </w:r>
      <w:r w:rsidR="00B47B22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EA4B41">
        <w:rPr>
          <w:rFonts w:ascii="Times New Roman" w:hAnsi="Times New Roman"/>
          <w:sz w:val="24"/>
          <w:szCs w:val="24"/>
        </w:rPr>
        <w:t xml:space="preserve">o Písmu svatém a jeho správném výkladu. 2 Petr rozděluje Písmo na „slova svatých proroků“ a „slova apoštolů“ (3,2). Blíže pak zahrnuje jak Petra a Dvanáct, tak rovněž Pavla mezi základní apoštolské svědky události s Kristem (viz 3,2-4,16). Předpokládá evangelní tradici (srov. proměnění v 2 Petr 1,16-18; </w:t>
      </w:r>
      <w:proofErr w:type="spellStart"/>
      <w:r w:rsidRPr="00EA4B41">
        <w:rPr>
          <w:rFonts w:ascii="Times New Roman" w:hAnsi="Times New Roman"/>
          <w:sz w:val="24"/>
          <w:szCs w:val="24"/>
        </w:rPr>
        <w:t>Mt</w:t>
      </w:r>
      <w:proofErr w:type="spellEnd"/>
      <w:r w:rsidRPr="00EA4B41">
        <w:rPr>
          <w:rFonts w:ascii="Times New Roman" w:hAnsi="Times New Roman"/>
          <w:sz w:val="24"/>
          <w:szCs w:val="24"/>
        </w:rPr>
        <w:t xml:space="preserve"> 17,5), která je zaručena svědectvím apoštolů. Mimoto zná již sbírku Pavlových listů, které staví na stejnou úroveň se spisy SZ (3,15-16).</w:t>
      </w:r>
    </w:p>
    <w:sectPr w:rsidR="00CF4A6B" w:rsidRPr="00EA4B41" w:rsidSect="0081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47BF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655"/>
    <w:rsid w:val="00296430"/>
    <w:rsid w:val="003A1348"/>
    <w:rsid w:val="003C1C5A"/>
    <w:rsid w:val="00584655"/>
    <w:rsid w:val="006B33ED"/>
    <w:rsid w:val="00756BBE"/>
    <w:rsid w:val="007959CE"/>
    <w:rsid w:val="007D444E"/>
    <w:rsid w:val="00816536"/>
    <w:rsid w:val="00853A90"/>
    <w:rsid w:val="008A5FEF"/>
    <w:rsid w:val="008B4A9A"/>
    <w:rsid w:val="00944EB5"/>
    <w:rsid w:val="009E49B9"/>
    <w:rsid w:val="00B47B22"/>
    <w:rsid w:val="00B70E80"/>
    <w:rsid w:val="00CF4A6B"/>
    <w:rsid w:val="00EA4B41"/>
    <w:rsid w:val="00EB2BF2"/>
    <w:rsid w:val="00F34136"/>
    <w:rsid w:val="00F616B0"/>
    <w:rsid w:val="00FA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536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3A134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3A1348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Seznam">
    <w:name w:val="List"/>
    <w:basedOn w:val="Zkladntext"/>
    <w:uiPriority w:val="99"/>
    <w:rsid w:val="003A1348"/>
    <w:pPr>
      <w:tabs>
        <w:tab w:val="left" w:pos="720"/>
      </w:tabs>
      <w:overflowPunct w:val="0"/>
      <w:autoSpaceDE w:val="0"/>
      <w:autoSpaceDN w:val="0"/>
      <w:adjustRightInd w:val="0"/>
      <w:spacing w:after="240" w:line="240" w:lineRule="auto"/>
      <w:ind w:left="360"/>
      <w:jc w:val="both"/>
      <w:textAlignment w:val="baseline"/>
    </w:pPr>
    <w:rPr>
      <w:rFonts w:ascii="Arial" w:eastAsia="Times New Roman" w:hAnsi="Arial"/>
      <w:spacing w:val="-5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A1348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3A1348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3C1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356</Words>
  <Characters>2102</Characters>
  <Application>Microsoft Office Word</Application>
  <DocSecurity>0</DocSecurity>
  <Lines>17</Lines>
  <Paragraphs>4</Paragraphs>
  <ScaleCrop>false</ScaleCrop>
  <Company>Univerzita Palackého v Olomouci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Mareček</dc:creator>
  <cp:keywords/>
  <dc:description/>
  <cp:lastModifiedBy>Jura</cp:lastModifiedBy>
  <cp:revision>12</cp:revision>
  <dcterms:created xsi:type="dcterms:W3CDTF">2014-09-09T14:56:00Z</dcterms:created>
  <dcterms:modified xsi:type="dcterms:W3CDTF">2014-11-18T10:07:00Z</dcterms:modified>
</cp:coreProperties>
</file>