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CB" w:rsidRPr="00F120CB" w:rsidRDefault="00F120CB" w:rsidP="009035C4">
      <w:pPr>
        <w:spacing w:after="120"/>
        <w:jc w:val="both"/>
        <w:rPr>
          <w:b/>
          <w:iCs/>
        </w:rPr>
      </w:pPr>
      <w:bookmarkStart w:id="0" w:name="_Toc190170391"/>
      <w:r>
        <w:rPr>
          <w:b/>
          <w:iCs/>
        </w:rPr>
        <w:t>LIST JAKUBŮV</w:t>
      </w:r>
    </w:p>
    <w:p w:rsidR="006144C2" w:rsidRPr="00864651" w:rsidRDefault="006144C2" w:rsidP="009035C4">
      <w:pPr>
        <w:spacing w:after="120"/>
        <w:jc w:val="both"/>
        <w:rPr>
          <w:b/>
          <w:i/>
          <w:iCs/>
        </w:rPr>
      </w:pPr>
      <w:r w:rsidRPr="00864651">
        <w:rPr>
          <w:b/>
          <w:i/>
          <w:iCs/>
        </w:rPr>
        <w:t>1. Úvodní charakteristika</w:t>
      </w:r>
    </w:p>
    <w:p w:rsidR="006144C2" w:rsidRPr="00864651" w:rsidRDefault="006144C2" w:rsidP="00FE0F2E">
      <w:pPr>
        <w:pStyle w:val="Zkladntextodsazen"/>
      </w:pPr>
      <w:r w:rsidRPr="00864651">
        <w:t xml:space="preserve">List Jakubův je prvním ze sedmi listů (Jak, Jud 1-2 Petr, 1-3 Jan), které se od doby </w:t>
      </w:r>
      <w:proofErr w:type="spellStart"/>
      <w:r w:rsidRPr="00864651">
        <w:t>Eusebia</w:t>
      </w:r>
      <w:proofErr w:type="spellEnd"/>
      <w:r w:rsidRPr="00864651">
        <w:t xml:space="preserve"> (</w:t>
      </w:r>
      <w:proofErr w:type="spellStart"/>
      <w:r w:rsidRPr="00864651">
        <w:rPr>
          <w:bCs/>
          <w:i/>
        </w:rPr>
        <w:t>Historia</w:t>
      </w:r>
      <w:proofErr w:type="spellEnd"/>
      <w:r w:rsidRPr="00864651">
        <w:rPr>
          <w:bCs/>
          <w:i/>
        </w:rPr>
        <w:t xml:space="preserve"> </w:t>
      </w:r>
      <w:proofErr w:type="spellStart"/>
      <w:r w:rsidRPr="00864651">
        <w:rPr>
          <w:bCs/>
          <w:i/>
        </w:rPr>
        <w:t>ecclesiastica</w:t>
      </w:r>
      <w:proofErr w:type="spellEnd"/>
      <w:r w:rsidRPr="00864651">
        <w:t xml:space="preserve">, 2,23,24n; 6,14,1) nazývají jako katolické listy, neboť jsou adresovány všem křesťanům. Výraz „katolický“ v označení těchto listů znamená „obecný“ tzn. „určený pro všeobecnou církev“. Na rozdíl od listů </w:t>
      </w:r>
      <w:r w:rsidRPr="00864651">
        <w:rPr>
          <w:i/>
        </w:rPr>
        <w:t xml:space="preserve">Corpus </w:t>
      </w:r>
      <w:proofErr w:type="spellStart"/>
      <w:r w:rsidRPr="00864651">
        <w:rPr>
          <w:i/>
        </w:rPr>
        <w:t>Paulinum</w:t>
      </w:r>
      <w:proofErr w:type="spellEnd"/>
      <w:r w:rsidRPr="00864651">
        <w:t xml:space="preserve">, které jsou pojmenovány podle adresátů, jsou katolické listy označovány podle jména autora. </w:t>
      </w:r>
    </w:p>
    <w:p w:rsidR="006144C2" w:rsidRPr="00864651" w:rsidRDefault="006144C2" w:rsidP="00D96149">
      <w:pPr>
        <w:pStyle w:val="Zkladntextodsazen"/>
      </w:pPr>
    </w:p>
    <w:p w:rsidR="006144C2" w:rsidRPr="00864651" w:rsidRDefault="006144C2" w:rsidP="009035C4">
      <w:pPr>
        <w:spacing w:after="120"/>
        <w:jc w:val="both"/>
        <w:rPr>
          <w:b/>
          <w:i/>
          <w:iCs/>
        </w:rPr>
      </w:pPr>
      <w:r w:rsidRPr="00864651">
        <w:rPr>
          <w:b/>
          <w:i/>
          <w:iCs/>
        </w:rPr>
        <w:t>2. Autor, doba a místo sepsání, adresáti</w:t>
      </w:r>
    </w:p>
    <w:p w:rsidR="006144C2" w:rsidRPr="00864651" w:rsidRDefault="006144C2" w:rsidP="00274326">
      <w:pPr>
        <w:pStyle w:val="Zkladntextodsazen"/>
      </w:pPr>
      <w:r w:rsidRPr="00864651">
        <w:t xml:space="preserve">Autor tohoto listu je podle dopisního úvodu Jakub, „služebník Boží a Pána Ježíše Krista“ (Jak 1,1). Sotva se však může jednat o apoštola Jakuba, syna </w:t>
      </w:r>
      <w:proofErr w:type="spellStart"/>
      <w:r w:rsidRPr="00864651">
        <w:t>Zebedeova</w:t>
      </w:r>
      <w:proofErr w:type="spellEnd"/>
      <w:r w:rsidRPr="00864651">
        <w:t xml:space="preserve"> (</w:t>
      </w:r>
      <w:proofErr w:type="spellStart"/>
      <w:r w:rsidRPr="00864651">
        <w:t>Mk</w:t>
      </w:r>
      <w:proofErr w:type="spellEnd"/>
      <w:r w:rsidRPr="00864651">
        <w:t xml:space="preserve"> 1,19; 3,17 par; Sk 12,2) nebo Jakuba, syna </w:t>
      </w:r>
      <w:proofErr w:type="spellStart"/>
      <w:r w:rsidRPr="00864651">
        <w:t>Alfeova</w:t>
      </w:r>
      <w:proofErr w:type="spellEnd"/>
      <w:r w:rsidRPr="00864651">
        <w:t xml:space="preserve"> (</w:t>
      </w:r>
      <w:proofErr w:type="spellStart"/>
      <w:r w:rsidRPr="00864651">
        <w:t>Mk</w:t>
      </w:r>
      <w:proofErr w:type="spellEnd"/>
      <w:r w:rsidRPr="00864651">
        <w:t xml:space="preserve"> 3,18 par), jelikož v dopisním úvodu chybí titul apoštola. Text Jak 1,1 odkazuje na Jakuba, „bratra Páně“, který se ke křesťanskému společenství připojil teprve po smrti a vzkříšení Ježíše Krista (srov. </w:t>
      </w:r>
      <w:proofErr w:type="spellStart"/>
      <w:r w:rsidRPr="00864651">
        <w:t>Mk</w:t>
      </w:r>
      <w:proofErr w:type="spellEnd"/>
      <w:r w:rsidRPr="00864651">
        <w:t xml:space="preserve"> 3,21.31-35; Jan 7,5) </w:t>
      </w:r>
      <w:r w:rsidR="0058718D">
        <w:br/>
      </w:r>
      <w:r w:rsidRPr="00864651">
        <w:t xml:space="preserve">a který zastával důležitou roli v jeruzalémské církevní obci (Sk 1,14; 12,17; 15,13; 21,18; Gal 1,19; 2,9.12). V roce 62 po Kr. byl společně s dalšími neznámými židokřesťany odsouzen za velekněze Annana II. z porušování Zákona k smrti ukamenování (srov. </w:t>
      </w:r>
      <w:proofErr w:type="spellStart"/>
      <w:r w:rsidRPr="00864651">
        <w:rPr>
          <w:smallCaps/>
        </w:rPr>
        <w:t>Josephus</w:t>
      </w:r>
      <w:proofErr w:type="spellEnd"/>
      <w:r w:rsidRPr="00864651">
        <w:rPr>
          <w:smallCaps/>
        </w:rPr>
        <w:t xml:space="preserve"> Flavius</w:t>
      </w:r>
      <w:r w:rsidRPr="00864651">
        <w:t xml:space="preserve">, </w:t>
      </w:r>
      <w:r w:rsidRPr="00864651">
        <w:rPr>
          <w:i/>
        </w:rPr>
        <w:t>Ant</w:t>
      </w:r>
      <w:r w:rsidRPr="00864651">
        <w:rPr>
          <w:iCs/>
        </w:rPr>
        <w:t xml:space="preserve">. </w:t>
      </w:r>
      <w:r w:rsidRPr="00864651">
        <w:t xml:space="preserve">20,200). Proti sepsání Jakubova listu „bratrem Páně“ však hovoří nejen kvalita řečtiny, ale též nepřítomnost otázek židovského zákona a ritualismu. Kromě toho situace církve charakterizovaná sociálním napětím, která nachází své paralely v Lukášových spisech, </w:t>
      </w:r>
      <w:r w:rsidR="0058718D">
        <w:br/>
      </w:r>
      <w:r w:rsidRPr="00864651">
        <w:t>v pastorálních listech a v knize Zjevení, poukazuje na období konce 1. století. Nakonec</w:t>
      </w:r>
      <w:r w:rsidR="0058718D">
        <w:br/>
      </w:r>
      <w:r w:rsidRPr="00864651">
        <w:t xml:space="preserve">i dějiny kánonu mluví proti bratru Páně jako autorovi Jakubova listu. Před rokem 200 po Kr. se nedá dokázat literární používání Jak. Do kánonu NZ byl Jak zařazen až v druhé polovině </w:t>
      </w:r>
      <w:r w:rsidR="0058718D">
        <w:br/>
      </w:r>
      <w:r w:rsidRPr="00864651">
        <w:t xml:space="preserve">4. století. Většina exegetů v dnešní době oprávněně hodnotí list Jakubův jako </w:t>
      </w:r>
      <w:proofErr w:type="spellStart"/>
      <w:r w:rsidRPr="00864651">
        <w:t>pseudoepigrafický</w:t>
      </w:r>
      <w:proofErr w:type="spellEnd"/>
      <w:r w:rsidRPr="00864651">
        <w:t xml:space="preserve"> spis, jehož autorem byl neznámý helénský židokřesťan, který měl značně velké řecké vzdělání a který se představuje jako teolog mudroslovné tradice. List vznikl zřejmě na konci prvního století v autoritě Jakuba, bratra Páně, který byl známý adresátům tohoto listu jako představený jeruzalémské církevní obce (místo vzniku: snad Sýrie). Podle Jak 1,1 je list adresován „dvanácti kmenům v rozptýlení“. Takto se označovali židé, kteří žili mimo Palestinu. V kontextu Jakubova listu se může jednat o židokřesťanské komunity v Palestině a mimo ni. Toto vyjádření však smí zahrnovat symbolické označení všech křesťanů, kteří jsou v tomto světě jako v diaspoře (Jak 1,1: „rozptýlení“).</w:t>
      </w:r>
    </w:p>
    <w:p w:rsidR="006144C2" w:rsidRPr="00864651" w:rsidRDefault="006144C2" w:rsidP="00D96149">
      <w:pPr>
        <w:pStyle w:val="Zkladntextodsazen"/>
      </w:pPr>
    </w:p>
    <w:p w:rsidR="006144C2" w:rsidRPr="00864651" w:rsidRDefault="006144C2" w:rsidP="009035C4">
      <w:pPr>
        <w:spacing w:after="120"/>
        <w:jc w:val="both"/>
        <w:rPr>
          <w:b/>
          <w:i/>
          <w:iCs/>
        </w:rPr>
      </w:pPr>
      <w:r w:rsidRPr="00864651">
        <w:rPr>
          <w:b/>
          <w:i/>
          <w:iCs/>
        </w:rPr>
        <w:t>3. Struktura a obsah</w:t>
      </w:r>
    </w:p>
    <w:p w:rsidR="006144C2" w:rsidRPr="00864651" w:rsidRDefault="006144C2" w:rsidP="003206C7">
      <w:pPr>
        <w:pStyle w:val="Zkladntextodsazen"/>
        <w:numPr>
          <w:ilvl w:val="0"/>
          <w:numId w:val="4"/>
        </w:numPr>
        <w:rPr>
          <w:bCs/>
        </w:rPr>
      </w:pPr>
      <w:r w:rsidRPr="00864651">
        <w:t xml:space="preserve">Dopisní úvod - </w:t>
      </w:r>
      <w:proofErr w:type="spellStart"/>
      <w:r w:rsidRPr="00864651">
        <w:t>preskript</w:t>
      </w:r>
      <w:proofErr w:type="spellEnd"/>
      <w:r w:rsidRPr="00864651">
        <w:rPr>
          <w:bCs/>
        </w:rPr>
        <w:t xml:space="preserve"> (1,1)</w:t>
      </w:r>
    </w:p>
    <w:p w:rsidR="006144C2" w:rsidRPr="00864651" w:rsidRDefault="006144C2" w:rsidP="003206C7">
      <w:pPr>
        <w:pStyle w:val="Zkladntextodsazen"/>
        <w:numPr>
          <w:ilvl w:val="0"/>
          <w:numId w:val="4"/>
        </w:numPr>
      </w:pPr>
      <w:r w:rsidRPr="00864651">
        <w:t>Nebezpečí pokušení pro křesťana (1,2-18)</w:t>
      </w:r>
    </w:p>
    <w:p w:rsidR="006144C2" w:rsidRPr="00864651" w:rsidRDefault="006144C2" w:rsidP="003206C7">
      <w:pPr>
        <w:pStyle w:val="Zkladntextodsazen"/>
        <w:numPr>
          <w:ilvl w:val="0"/>
          <w:numId w:val="4"/>
        </w:numPr>
      </w:pPr>
      <w:r w:rsidRPr="00864651">
        <w:t>Nejen slyšení Božího slova, ale i konání (1,19-27)</w:t>
      </w:r>
    </w:p>
    <w:p w:rsidR="006144C2" w:rsidRPr="00864651" w:rsidRDefault="006144C2" w:rsidP="003206C7">
      <w:pPr>
        <w:pStyle w:val="Zkladntextodsazen"/>
        <w:numPr>
          <w:ilvl w:val="0"/>
          <w:numId w:val="4"/>
        </w:numPr>
      </w:pPr>
      <w:r w:rsidRPr="00864651">
        <w:t>Stranictví k lidem a zachovávání královského zákona (2,1-13)</w:t>
      </w:r>
    </w:p>
    <w:p w:rsidR="006144C2" w:rsidRPr="00864651" w:rsidRDefault="006144C2" w:rsidP="003206C7">
      <w:pPr>
        <w:pStyle w:val="Zkladntextodsazen"/>
        <w:numPr>
          <w:ilvl w:val="0"/>
          <w:numId w:val="4"/>
        </w:numPr>
      </w:pPr>
      <w:r w:rsidRPr="00864651">
        <w:t>Význam víry a skutků pro ospravedlnění člověka (2,14-26)</w:t>
      </w:r>
    </w:p>
    <w:p w:rsidR="006144C2" w:rsidRPr="00864651" w:rsidRDefault="006144C2" w:rsidP="003206C7">
      <w:pPr>
        <w:pStyle w:val="Zkladntextodsazen"/>
        <w:numPr>
          <w:ilvl w:val="0"/>
          <w:numId w:val="4"/>
        </w:numPr>
      </w:pPr>
      <w:r w:rsidRPr="00864651">
        <w:t>Ovládání jazyka (3,1-12)</w:t>
      </w:r>
    </w:p>
    <w:p w:rsidR="006144C2" w:rsidRPr="00864651" w:rsidRDefault="006144C2" w:rsidP="003206C7">
      <w:pPr>
        <w:pStyle w:val="Zkladntextodsazen"/>
        <w:numPr>
          <w:ilvl w:val="0"/>
          <w:numId w:val="4"/>
        </w:numPr>
      </w:pPr>
      <w:r w:rsidRPr="00864651">
        <w:t>Pravá moudrost – moudrost shůry (3,13-18)</w:t>
      </w:r>
    </w:p>
    <w:p w:rsidR="006144C2" w:rsidRPr="00864651" w:rsidRDefault="006144C2" w:rsidP="003206C7">
      <w:pPr>
        <w:pStyle w:val="Zkladntextodsazen"/>
        <w:numPr>
          <w:ilvl w:val="0"/>
          <w:numId w:val="4"/>
        </w:numPr>
      </w:pPr>
      <w:r w:rsidRPr="00864651">
        <w:t>Varování před svárlivostí a pomluvou (4,1-12)</w:t>
      </w:r>
    </w:p>
    <w:p w:rsidR="006144C2" w:rsidRPr="00864651" w:rsidRDefault="006144C2" w:rsidP="003206C7">
      <w:pPr>
        <w:pStyle w:val="Zkladntextodsazen"/>
        <w:numPr>
          <w:ilvl w:val="0"/>
          <w:numId w:val="4"/>
        </w:numPr>
      </w:pPr>
      <w:r w:rsidRPr="00864651">
        <w:t>Varování před opovážlivou jistotou (4,13-17)</w:t>
      </w:r>
    </w:p>
    <w:p w:rsidR="006144C2" w:rsidRPr="00864651" w:rsidRDefault="006144C2" w:rsidP="003206C7">
      <w:pPr>
        <w:pStyle w:val="Zkladntextodsazen"/>
        <w:numPr>
          <w:ilvl w:val="0"/>
          <w:numId w:val="4"/>
        </w:numPr>
      </w:pPr>
      <w:r w:rsidRPr="00864651">
        <w:t>Soud vůči nesociálně bohatým (5,1-6)</w:t>
      </w:r>
    </w:p>
    <w:p w:rsidR="006144C2" w:rsidRPr="00864651" w:rsidRDefault="006144C2" w:rsidP="003206C7">
      <w:pPr>
        <w:pStyle w:val="Zkladntextodsazen"/>
        <w:numPr>
          <w:ilvl w:val="0"/>
          <w:numId w:val="4"/>
        </w:numPr>
      </w:pPr>
      <w:r w:rsidRPr="00864651">
        <w:t>Napomenutí k trpělivému očekávání paruzie  (5,7-11)</w:t>
      </w:r>
    </w:p>
    <w:p w:rsidR="006144C2" w:rsidRPr="00864651" w:rsidRDefault="006144C2" w:rsidP="003206C7">
      <w:pPr>
        <w:pStyle w:val="Zkladntextodsazen"/>
        <w:numPr>
          <w:ilvl w:val="0"/>
          <w:numId w:val="4"/>
        </w:numPr>
      </w:pPr>
      <w:r w:rsidRPr="00864651">
        <w:t>Otázka přísahy (5,12)</w:t>
      </w:r>
    </w:p>
    <w:p w:rsidR="006144C2" w:rsidRPr="00864651" w:rsidRDefault="006144C2" w:rsidP="003206C7">
      <w:pPr>
        <w:pStyle w:val="Zkladntextodsazen"/>
        <w:numPr>
          <w:ilvl w:val="0"/>
          <w:numId w:val="4"/>
        </w:numPr>
      </w:pPr>
      <w:r w:rsidRPr="00864651">
        <w:t>Pokyny pro rozličné životní situace (5,13-15)</w:t>
      </w:r>
    </w:p>
    <w:p w:rsidR="006144C2" w:rsidRPr="00864651" w:rsidRDefault="006144C2" w:rsidP="003206C7">
      <w:pPr>
        <w:pStyle w:val="Zkladntextodsazen"/>
        <w:numPr>
          <w:ilvl w:val="1"/>
          <w:numId w:val="4"/>
        </w:numPr>
      </w:pPr>
      <w:r w:rsidRPr="00864651">
        <w:t>Jednání v nepříznivé situaci (5,13a)</w:t>
      </w:r>
    </w:p>
    <w:p w:rsidR="006144C2" w:rsidRPr="00864651" w:rsidRDefault="006144C2" w:rsidP="003206C7">
      <w:pPr>
        <w:pStyle w:val="Zkladntextodsazen"/>
        <w:numPr>
          <w:ilvl w:val="1"/>
          <w:numId w:val="4"/>
        </w:numPr>
      </w:pPr>
      <w:r w:rsidRPr="00864651">
        <w:t>Jednání v dobré situaci (5,13b)</w:t>
      </w:r>
    </w:p>
    <w:p w:rsidR="006144C2" w:rsidRPr="00864651" w:rsidRDefault="006144C2" w:rsidP="003206C7">
      <w:pPr>
        <w:pStyle w:val="Zkladntextodsazen"/>
        <w:numPr>
          <w:ilvl w:val="1"/>
          <w:numId w:val="4"/>
        </w:numPr>
      </w:pPr>
      <w:r w:rsidRPr="00864651">
        <w:lastRenderedPageBreak/>
        <w:t>Jednání při onemocnění (5,14-15)</w:t>
      </w:r>
    </w:p>
    <w:p w:rsidR="006144C2" w:rsidRPr="00864651" w:rsidRDefault="006144C2" w:rsidP="003206C7">
      <w:pPr>
        <w:pStyle w:val="Zkladntextodsazen"/>
        <w:numPr>
          <w:ilvl w:val="0"/>
          <w:numId w:val="4"/>
        </w:numPr>
      </w:pPr>
      <w:r w:rsidRPr="00864651">
        <w:t>Vyznání hříchů a síla modlitby (5,16-18)</w:t>
      </w:r>
    </w:p>
    <w:p w:rsidR="006144C2" w:rsidRPr="00864651" w:rsidRDefault="006144C2" w:rsidP="003206C7">
      <w:pPr>
        <w:pStyle w:val="Zkladntextodsazen"/>
        <w:numPr>
          <w:ilvl w:val="0"/>
          <w:numId w:val="4"/>
        </w:numPr>
      </w:pPr>
      <w:r w:rsidRPr="00864651">
        <w:t>Duchovní pomoc pro zbloudilé bratry (5,19-20)</w:t>
      </w:r>
    </w:p>
    <w:p w:rsidR="006144C2" w:rsidRPr="00864651" w:rsidRDefault="006144C2" w:rsidP="009035C4">
      <w:pPr>
        <w:spacing w:after="120"/>
        <w:jc w:val="both"/>
        <w:rPr>
          <w:iCs/>
        </w:rPr>
      </w:pPr>
    </w:p>
    <w:p w:rsidR="006144C2" w:rsidRPr="00864651" w:rsidRDefault="006144C2" w:rsidP="008776F1">
      <w:pPr>
        <w:spacing w:after="120"/>
        <w:jc w:val="both"/>
        <w:rPr>
          <w:b/>
          <w:i/>
          <w:iCs/>
        </w:rPr>
      </w:pPr>
      <w:bookmarkStart w:id="1" w:name="_Toc190170394"/>
      <w:bookmarkEnd w:id="0"/>
      <w:r w:rsidRPr="00864651">
        <w:rPr>
          <w:b/>
          <w:i/>
          <w:iCs/>
        </w:rPr>
        <w:t>4. Literární a teologický charakter</w:t>
      </w:r>
    </w:p>
    <w:p w:rsidR="006144C2" w:rsidRPr="00864651" w:rsidRDefault="006144C2" w:rsidP="0019610D">
      <w:pPr>
        <w:pStyle w:val="Zkladntextodsazen"/>
      </w:pPr>
      <w:r w:rsidRPr="00864651">
        <w:t xml:space="preserve">List Jakubův lze literárního hlediska označit jako moudře napomínající a poučný list, který obsahuje morální instrukce různého druhu. Stavba listu nevykazuje systematické uspořádání. Jednotlivé výroky, které jsou jen volně mezi sebou spojeny, napomínají, povzbuzují a těší. Toto zaměření dokládá 58 imperativních tvarů. Jazyk listu je velmi elegantní, jeho řečtina </w:t>
      </w:r>
      <w:r w:rsidR="0058718D">
        <w:br/>
      </w:r>
      <w:r w:rsidRPr="00864651">
        <w:t xml:space="preserve">je v rámci Nového zákona, pokud jde o kvalitu, pravděpodobně hned za listem Židům. </w:t>
      </w:r>
      <w:r w:rsidR="0058718D">
        <w:br/>
      </w:r>
      <w:r w:rsidRPr="00864651">
        <w:t xml:space="preserve">List Jakubův má své kořeny v židovsko-helénistickém mudroslovném myšlení, s kterým </w:t>
      </w:r>
      <w:r w:rsidR="0058718D">
        <w:br/>
      </w:r>
      <w:r w:rsidRPr="00864651">
        <w:t xml:space="preserve">se setkáváme jak v pozdních knihách Starého zákona (kniha Moudrosti, kniha </w:t>
      </w:r>
      <w:proofErr w:type="spellStart"/>
      <w:r w:rsidRPr="00864651">
        <w:t>Sirachovcova</w:t>
      </w:r>
      <w:proofErr w:type="spellEnd"/>
      <w:r w:rsidRPr="00864651">
        <w:t xml:space="preserve">), tak v mimobiblické literatuře (Závěť 12 patriarchů, </w:t>
      </w:r>
      <w:proofErr w:type="spellStart"/>
      <w:r w:rsidRPr="00864651">
        <w:t>kumránské</w:t>
      </w:r>
      <w:proofErr w:type="spellEnd"/>
      <w:r w:rsidRPr="00864651">
        <w:t xml:space="preserve"> spisy). </w:t>
      </w:r>
    </w:p>
    <w:p w:rsidR="006144C2" w:rsidRPr="00864651" w:rsidRDefault="006144C2" w:rsidP="00C019D9">
      <w:pPr>
        <w:pStyle w:val="Zkladntextodsazen"/>
      </w:pPr>
      <w:r w:rsidRPr="00864651">
        <w:t xml:space="preserve">List Jakubův není pojednáním o křesťanské nauce nebo o její obraně, nýbrž obsahuje napomenutí k činorodému uskutečňování evangelia. Základem je víra v Ježíše Krista, Pána slávy, přicházejícího soudce (Jak 2,1; 5,7-11). Víra je Boží dar, žije z naslouchání slova </w:t>
      </w:r>
      <w:r w:rsidR="0058718D">
        <w:br/>
      </w:r>
      <w:r w:rsidRPr="00864651">
        <w:t xml:space="preserve">a uschopňuje člověka k pravé bohoslužbě, tj. k aktivní lásce vůči potřebným </w:t>
      </w:r>
      <w:r w:rsidR="0058718D">
        <w:br/>
      </w:r>
      <w:r w:rsidRPr="00864651">
        <w:t>(Jak 1,19-27; 2,1-13). Víra, která není brána vážně ve všedním životě, která rozhodujícím způsobem neovlivňuje jednání člověka, není hodna, aby byla takto nazývána. Je pouhým podvodem, </w:t>
      </w:r>
      <w:r w:rsidRPr="00864651">
        <w:rPr>
          <w:i/>
          <w:iCs/>
        </w:rPr>
        <w:t>„neboť jako tělo bez duše je mrtvé, tak i víra beze skutků je mrtvá“</w:t>
      </w:r>
      <w:r w:rsidRPr="00864651">
        <w:t xml:space="preserve"> (Jak 2,26). Život pravého křesťana podle svědectví Jakubova listu má být jednak charakterizován postojem pokory (Jak 4,6), mírnosti (Jak 3,13), milosrdenství (Jak 2,13; 3,17) a důvěřivého odevzdání se prozřetelnosti Boha (Jak 4,15) a jednak se má vyznačovat úsilím o pokoj </w:t>
      </w:r>
      <w:r w:rsidR="0058718D">
        <w:br/>
      </w:r>
      <w:r w:rsidRPr="00864651">
        <w:t>(Jak 3,18) a starostlivostí o nemocné, o hříšníky a o ty, kteří zbloudili od pravdy</w:t>
      </w:r>
      <w:r w:rsidR="0058718D">
        <w:br/>
      </w:r>
      <w:r w:rsidRPr="00864651">
        <w:t xml:space="preserve">(Jak 5,14-20). List Jakubův dále upozorňuje, že modlitba má doprovázet křesťana ve všech okolnostech života (Jak 5,14-15.16-18) a že je zapotřebí vydržet v pokušeních a zkouškách (Jak 1,2.12.14; 4,7). Důležitou úlohu zaujímá také přikázání lásky, které je označeno jako „královský zákon“ (Jak 2,8). </w:t>
      </w:r>
      <w:r w:rsidRPr="00864651">
        <w:rPr>
          <w:bCs/>
        </w:rPr>
        <w:t>Pomazání nemocných</w:t>
      </w:r>
      <w:r w:rsidRPr="00864651">
        <w:t xml:space="preserve"> ve jménu Páně (5,14-15), skrze které jsou rovněž odpuštěny hříchy, je pokračováním v církvi Ježíšova pověření učedníkům, </w:t>
      </w:r>
      <w:r w:rsidR="0058718D">
        <w:br/>
      </w:r>
      <w:bookmarkStart w:id="2" w:name="_GoBack"/>
      <w:bookmarkEnd w:id="2"/>
      <w:r w:rsidRPr="00864651">
        <w:t xml:space="preserve">aby uzdravovali nemocné (srov. </w:t>
      </w:r>
      <w:proofErr w:type="spellStart"/>
      <w:r w:rsidRPr="00864651">
        <w:t>Mt</w:t>
      </w:r>
      <w:proofErr w:type="spellEnd"/>
      <w:r w:rsidRPr="00864651">
        <w:t xml:space="preserve"> 10,7; </w:t>
      </w:r>
      <w:proofErr w:type="spellStart"/>
      <w:r w:rsidRPr="00864651">
        <w:t>Mk</w:t>
      </w:r>
      <w:proofErr w:type="spellEnd"/>
      <w:r w:rsidRPr="00864651">
        <w:t xml:space="preserve"> 16,17n; Sk 5,12-16; 19,11n; 1 </w:t>
      </w:r>
      <w:proofErr w:type="spellStart"/>
      <w:r w:rsidRPr="00864651">
        <w:t>Kor</w:t>
      </w:r>
      <w:proofErr w:type="spellEnd"/>
      <w:r w:rsidRPr="00864651">
        <w:t xml:space="preserve"> 12,9.30). Tridentský koncil o Jak 5,14-15 prohlásil, že apoštol Jakub vyhlásil svátost pomazání nemocných (DS 1716).</w:t>
      </w:r>
    </w:p>
    <w:p w:rsidR="006144C2" w:rsidRPr="00864651" w:rsidRDefault="006144C2" w:rsidP="0019610D">
      <w:pPr>
        <w:pStyle w:val="Zkladntextodsazen"/>
      </w:pPr>
    </w:p>
    <w:p w:rsidR="006144C2" w:rsidRPr="00864651" w:rsidRDefault="006144C2" w:rsidP="003A07BD">
      <w:pPr>
        <w:pStyle w:val="Zkladntextodsazen"/>
      </w:pPr>
    </w:p>
    <w:bookmarkEnd w:id="1"/>
    <w:p w:rsidR="006144C2" w:rsidRPr="00864651" w:rsidRDefault="006144C2" w:rsidP="008776F1">
      <w:pPr>
        <w:spacing w:after="120"/>
        <w:jc w:val="both"/>
        <w:rPr>
          <w:b/>
          <w:i/>
          <w:iCs/>
        </w:rPr>
      </w:pPr>
      <w:r w:rsidRPr="00864651">
        <w:rPr>
          <w:b/>
          <w:i/>
          <w:iCs/>
        </w:rPr>
        <w:t>5. Literatura</w:t>
      </w:r>
    </w:p>
    <w:p w:rsidR="006144C2" w:rsidRPr="00864651" w:rsidRDefault="006144C2" w:rsidP="00BA795B">
      <w:pPr>
        <w:ind w:left="284" w:hanging="284"/>
        <w:jc w:val="both"/>
      </w:pPr>
      <w:r w:rsidRPr="00864651">
        <w:rPr>
          <w:smallCaps/>
        </w:rPr>
        <w:t>P. Pokorný</w:t>
      </w:r>
      <w:r w:rsidRPr="00864651">
        <w:t xml:space="preserve">, </w:t>
      </w:r>
      <w:r w:rsidRPr="00864651">
        <w:rPr>
          <w:i/>
          <w:iCs/>
        </w:rPr>
        <w:t>Literární a teologický úvod do Nového zákona</w:t>
      </w:r>
      <w:r w:rsidRPr="00864651">
        <w:t>, Praha: Vyšehrad, 1993.</w:t>
      </w:r>
    </w:p>
    <w:p w:rsidR="006144C2" w:rsidRPr="00864651" w:rsidRDefault="006144C2" w:rsidP="00BA795B">
      <w:pPr>
        <w:ind w:left="284" w:hanging="284"/>
        <w:jc w:val="both"/>
        <w:rPr>
          <w:iCs/>
        </w:rPr>
      </w:pPr>
      <w:r w:rsidRPr="00864651">
        <w:rPr>
          <w:iCs/>
        </w:rPr>
        <w:t xml:space="preserve">R. </w:t>
      </w:r>
      <w:proofErr w:type="spellStart"/>
      <w:r w:rsidRPr="00864651">
        <w:rPr>
          <w:iCs/>
          <w:smallCaps/>
        </w:rPr>
        <w:t>Hoppe</w:t>
      </w:r>
      <w:proofErr w:type="spellEnd"/>
      <w:r w:rsidRPr="00864651">
        <w:rPr>
          <w:iCs/>
        </w:rPr>
        <w:t xml:space="preserve">, </w:t>
      </w:r>
      <w:r w:rsidRPr="00864651">
        <w:rPr>
          <w:i/>
          <w:iCs/>
        </w:rPr>
        <w:t>List Jakubův</w:t>
      </w:r>
      <w:r w:rsidRPr="00864651">
        <w:rPr>
          <w:iCs/>
        </w:rPr>
        <w:t>, MSKNZ 15, Kostelní Vydří: Karmelitánské nakladatelství 2001.</w:t>
      </w:r>
    </w:p>
    <w:p w:rsidR="006144C2" w:rsidRPr="00864651" w:rsidRDefault="006144C2" w:rsidP="00BA795B">
      <w:pPr>
        <w:jc w:val="both"/>
      </w:pPr>
      <w:r w:rsidRPr="00864651">
        <w:rPr>
          <w:smallCaps/>
        </w:rPr>
        <w:t xml:space="preserve">L. Tichý, </w:t>
      </w:r>
      <w:r w:rsidRPr="00864651">
        <w:rPr>
          <w:i/>
          <w:iCs/>
        </w:rPr>
        <w:t>Úvod do Nového zákona</w:t>
      </w:r>
      <w:r w:rsidRPr="00864651">
        <w:t xml:space="preserve">, Svitavy: </w:t>
      </w:r>
      <w:proofErr w:type="spellStart"/>
      <w:r w:rsidRPr="00864651">
        <w:t>Trinitas</w:t>
      </w:r>
      <w:proofErr w:type="spellEnd"/>
      <w:r w:rsidRPr="00864651">
        <w:t>, 2003</w:t>
      </w:r>
      <w:r w:rsidRPr="00864651">
        <w:rPr>
          <w:vertAlign w:val="superscript"/>
        </w:rPr>
        <w:t>2</w:t>
      </w:r>
      <w:r w:rsidRPr="00864651">
        <w:t>.</w:t>
      </w:r>
    </w:p>
    <w:p w:rsidR="006144C2" w:rsidRPr="00864651" w:rsidRDefault="006144C2" w:rsidP="00BA795B">
      <w:pPr>
        <w:jc w:val="both"/>
      </w:pPr>
    </w:p>
    <w:sectPr w:rsidR="006144C2" w:rsidRPr="00864651" w:rsidSect="0025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E4" w:rsidRDefault="00891BE4" w:rsidP="00BE71BE">
      <w:r>
        <w:separator/>
      </w:r>
    </w:p>
  </w:endnote>
  <w:endnote w:type="continuationSeparator" w:id="0">
    <w:p w:rsidR="00891BE4" w:rsidRDefault="00891BE4" w:rsidP="00B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E4" w:rsidRDefault="00891BE4" w:rsidP="00BE71BE">
      <w:r>
        <w:separator/>
      </w:r>
    </w:p>
  </w:footnote>
  <w:footnote w:type="continuationSeparator" w:id="0">
    <w:p w:rsidR="00891BE4" w:rsidRDefault="00891BE4" w:rsidP="00BE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7C1D"/>
    <w:multiLevelType w:val="multilevel"/>
    <w:tmpl w:val="AD1CAAE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1">
    <w:nsid w:val="420B52B6"/>
    <w:multiLevelType w:val="hybridMultilevel"/>
    <w:tmpl w:val="8E9A1AEC"/>
    <w:lvl w:ilvl="0" w:tplc="2124AC0A">
      <w:start w:val="1"/>
      <w:numFmt w:val="lowerLetter"/>
      <w:lvlText w:val="%1)"/>
      <w:lvlJc w:val="left"/>
      <w:pPr>
        <w:tabs>
          <w:tab w:val="num" w:pos="1494"/>
        </w:tabs>
        <w:ind w:left="357" w:firstLine="777"/>
      </w:pPr>
      <w:rPr>
        <w:rFonts w:cs="Times New Roman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224701"/>
    <w:multiLevelType w:val="multilevel"/>
    <w:tmpl w:val="AD1CAAE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3">
    <w:nsid w:val="50272E35"/>
    <w:multiLevelType w:val="hybridMultilevel"/>
    <w:tmpl w:val="C5E0DA36"/>
    <w:lvl w:ilvl="0" w:tplc="040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5AF40053"/>
    <w:multiLevelType w:val="hybridMultilevel"/>
    <w:tmpl w:val="229893DC"/>
    <w:lvl w:ilvl="0" w:tplc="239220FC">
      <w:start w:val="1"/>
      <w:numFmt w:val="lowerLetter"/>
      <w:lvlText w:val="%1)"/>
      <w:lvlJc w:val="left"/>
      <w:pPr>
        <w:tabs>
          <w:tab w:val="num" w:pos="1494"/>
        </w:tabs>
        <w:ind w:left="357" w:firstLine="777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E33"/>
    <w:rsid w:val="00095AE0"/>
    <w:rsid w:val="00100EDE"/>
    <w:rsid w:val="0019610D"/>
    <w:rsid w:val="001C317B"/>
    <w:rsid w:val="00226CF9"/>
    <w:rsid w:val="00256ED7"/>
    <w:rsid w:val="00274326"/>
    <w:rsid w:val="002B0A4D"/>
    <w:rsid w:val="002F538D"/>
    <w:rsid w:val="003206C7"/>
    <w:rsid w:val="00385E79"/>
    <w:rsid w:val="003A07BD"/>
    <w:rsid w:val="003A0B3E"/>
    <w:rsid w:val="003A2B4E"/>
    <w:rsid w:val="003C4C43"/>
    <w:rsid w:val="00422EB4"/>
    <w:rsid w:val="004A5620"/>
    <w:rsid w:val="004A5784"/>
    <w:rsid w:val="00535CCD"/>
    <w:rsid w:val="0058718D"/>
    <w:rsid w:val="005D6004"/>
    <w:rsid w:val="006144C2"/>
    <w:rsid w:val="00671F93"/>
    <w:rsid w:val="006F090F"/>
    <w:rsid w:val="00712E33"/>
    <w:rsid w:val="00714C42"/>
    <w:rsid w:val="00734B1D"/>
    <w:rsid w:val="00753A52"/>
    <w:rsid w:val="0076709F"/>
    <w:rsid w:val="00775DC2"/>
    <w:rsid w:val="007822AE"/>
    <w:rsid w:val="00793017"/>
    <w:rsid w:val="007B43D7"/>
    <w:rsid w:val="007C334A"/>
    <w:rsid w:val="007D6E0C"/>
    <w:rsid w:val="00835CB6"/>
    <w:rsid w:val="00842273"/>
    <w:rsid w:val="00864651"/>
    <w:rsid w:val="00870333"/>
    <w:rsid w:val="008776F1"/>
    <w:rsid w:val="00882CA2"/>
    <w:rsid w:val="00891BE4"/>
    <w:rsid w:val="008D3B77"/>
    <w:rsid w:val="009035C4"/>
    <w:rsid w:val="009129A6"/>
    <w:rsid w:val="0096343A"/>
    <w:rsid w:val="00976D31"/>
    <w:rsid w:val="00994DE3"/>
    <w:rsid w:val="009F4607"/>
    <w:rsid w:val="00A27AAB"/>
    <w:rsid w:val="00A56EB0"/>
    <w:rsid w:val="00AD0B8D"/>
    <w:rsid w:val="00B025C9"/>
    <w:rsid w:val="00B51EEE"/>
    <w:rsid w:val="00B874E3"/>
    <w:rsid w:val="00BA4777"/>
    <w:rsid w:val="00BA795B"/>
    <w:rsid w:val="00BB3BD7"/>
    <w:rsid w:val="00BC1780"/>
    <w:rsid w:val="00BC5C1C"/>
    <w:rsid w:val="00BE71BE"/>
    <w:rsid w:val="00C019D9"/>
    <w:rsid w:val="00C52EE5"/>
    <w:rsid w:val="00CB0893"/>
    <w:rsid w:val="00D370BD"/>
    <w:rsid w:val="00D55FE2"/>
    <w:rsid w:val="00D96149"/>
    <w:rsid w:val="00DE3753"/>
    <w:rsid w:val="00DF2A3B"/>
    <w:rsid w:val="00E074FF"/>
    <w:rsid w:val="00E65C0A"/>
    <w:rsid w:val="00E84E02"/>
    <w:rsid w:val="00F120CB"/>
    <w:rsid w:val="00F2372D"/>
    <w:rsid w:val="00F46256"/>
    <w:rsid w:val="00F7204D"/>
    <w:rsid w:val="00F95445"/>
    <w:rsid w:val="00FD115C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E33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12E33"/>
    <w:pPr>
      <w:keepNext/>
      <w:spacing w:before="240" w:after="60"/>
      <w:outlineLvl w:val="3"/>
    </w:pPr>
    <w:rPr>
      <w:b/>
      <w:bCs/>
      <w:i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12E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locked/>
    <w:rsid w:val="00712E33"/>
    <w:rPr>
      <w:rFonts w:ascii="Times New Roman" w:hAnsi="Times New Roman" w:cs="Times New Roman"/>
      <w:b/>
      <w:bCs/>
      <w:i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712E33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Seznam">
    <w:name w:val="List"/>
    <w:basedOn w:val="Zkladntext"/>
    <w:uiPriority w:val="99"/>
    <w:semiHidden/>
    <w:rsid w:val="00712E33"/>
    <w:pPr>
      <w:tabs>
        <w:tab w:val="left" w:pos="720"/>
      </w:tabs>
      <w:overflowPunct w:val="0"/>
      <w:autoSpaceDE w:val="0"/>
      <w:autoSpaceDN w:val="0"/>
      <w:adjustRightInd w:val="0"/>
      <w:spacing w:after="240"/>
      <w:ind w:left="360"/>
      <w:jc w:val="both"/>
    </w:pPr>
    <w:rPr>
      <w:rFonts w:ascii="Arial" w:hAnsi="Arial"/>
      <w:spacing w:val="-5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12E33"/>
    <w:pPr>
      <w:ind w:firstLine="284"/>
      <w:jc w:val="both"/>
    </w:pPr>
  </w:style>
  <w:style w:type="character" w:customStyle="1" w:styleId="ZkladntextodsazenChar">
    <w:name w:val="Základní text odsazený Char"/>
    <w:link w:val="Zkladntextodsazen"/>
    <w:uiPriority w:val="99"/>
    <w:locked/>
    <w:rsid w:val="00712E33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Velikost12">
    <w:name w:val="Velikost12"/>
    <w:uiPriority w:val="99"/>
    <w:rsid w:val="00712E33"/>
    <w:rPr>
      <w:sz w:val="24"/>
    </w:rPr>
  </w:style>
  <w:style w:type="paragraph" w:styleId="Zkladntext">
    <w:name w:val="Body Text"/>
    <w:basedOn w:val="Normln"/>
    <w:link w:val="ZkladntextChar"/>
    <w:uiPriority w:val="99"/>
    <w:semiHidden/>
    <w:rsid w:val="00712E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712E33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71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E71B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E71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E71BE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99"/>
    <w:qFormat/>
    <w:rsid w:val="003206C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850</Words>
  <Characters>5015</Characters>
  <Application>Microsoft Office Word</Application>
  <DocSecurity>0</DocSecurity>
  <Lines>41</Lines>
  <Paragraphs>11</Paragraphs>
  <ScaleCrop>false</ScaleCrop>
  <Company>Univerzita Palackého v Olomouci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Mareček</dc:creator>
  <cp:keywords/>
  <dc:description/>
  <cp:lastModifiedBy>Jura</cp:lastModifiedBy>
  <cp:revision>14</cp:revision>
  <dcterms:created xsi:type="dcterms:W3CDTF">2014-01-05T06:23:00Z</dcterms:created>
  <dcterms:modified xsi:type="dcterms:W3CDTF">2014-11-18T10:20:00Z</dcterms:modified>
</cp:coreProperties>
</file>